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1"/>
        <w:jc w:val="right"/>
        <w:keepLines/>
        <w:keepNext/>
        <w:rPr>
          <w:rFonts w:eastAsia="Calibri"/>
          <w:b w:val="0"/>
          <w:bCs w:val="0"/>
          <w:sz w:val="26"/>
          <w:szCs w:val="26"/>
        </w:rPr>
      </w:pPr>
      <w:r>
        <w:rPr>
          <w:rFonts w:eastAsia="Calibri"/>
          <w:b w:val="0"/>
          <w:bCs w:val="0"/>
          <w:sz w:val="26"/>
          <w:szCs w:val="26"/>
        </w:rPr>
        <w:t xml:space="preserve">Приложение №1 к Документации о закупке</w:t>
      </w:r>
      <w:r>
        <w:rPr>
          <w:rFonts w:eastAsia="Calibri"/>
          <w:b w:val="0"/>
          <w:bCs w:val="0"/>
          <w:sz w:val="26"/>
          <w:szCs w:val="26"/>
        </w:rPr>
      </w:r>
      <w:r>
        <w:rPr>
          <w:rFonts w:eastAsia="Calibri"/>
          <w:b w:val="0"/>
          <w:bCs w:val="0"/>
          <w:sz w:val="26"/>
          <w:szCs w:val="26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81"/>
        <w:jc w:val="center"/>
        <w:keepLines/>
        <w:keepNext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продукции </w:t>
      </w: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pStyle w:val="881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  <w14:ligatures w14:val="none"/>
        </w:rPr>
      </w:pPr>
      <w:r>
        <w:rPr>
          <w:rFonts w:eastAsia="Calibri"/>
          <w:b w:val="0"/>
          <w:bCs w:val="0"/>
          <w:sz w:val="28"/>
          <w:szCs w:val="28"/>
        </w:rPr>
        <w:t xml:space="preserve">ОКПД2 26.40.33 Поставка оборудования и материалов технологического видеонаблюдения для распредустройств и оперативного персонала для АО «ДГК» в Хабаровском крае, Приморском крае, Амурской области, </w:t>
      </w:r>
      <w:r>
        <w:rPr>
          <w:rFonts w:eastAsia="Calibri"/>
          <w:b w:val="0"/>
          <w:bCs w:val="0"/>
          <w:sz w:val="28"/>
          <w:szCs w:val="28"/>
          <w14:ligatures w14:val="none"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  <w14:ligatures w14:val="none"/>
        </w:rPr>
      </w:pPr>
      <w:r>
        <w:rPr>
          <w:rFonts w:eastAsia="Calibri"/>
          <w:b w:val="0"/>
          <w:bCs w:val="0"/>
          <w:sz w:val="28"/>
          <w:szCs w:val="28"/>
        </w:rPr>
        <w:t xml:space="preserve">Респ. Саха (Якутия), ЕАО</w:t>
      </w:r>
      <w:r>
        <w:rPr>
          <w:rFonts w:eastAsia="Calibri"/>
          <w:b w:val="0"/>
          <w:bCs w:val="0"/>
          <w:sz w:val="28"/>
          <w:szCs w:val="28"/>
          <w14:ligatures w14:val="none"/>
        </w:rPr>
      </w:r>
      <w:r/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  <w14:ligatures w14:val="none"/>
        </w:rPr>
      </w:pP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  <w14:ligatures w14:val="none"/>
        </w:rPr>
      </w:pPr>
      <w:r>
        <w:rPr>
          <w:rFonts w:eastAsia="Calibri"/>
          <w:b w:val="0"/>
          <w:bCs w:val="0"/>
          <w:sz w:val="28"/>
          <w:szCs w:val="28"/>
        </w:rPr>
        <w:t xml:space="preserve">(Лот № </w:t>
      </w:r>
      <w:r>
        <w:rPr>
          <w:rFonts w:eastAsia="Calibri"/>
          <w:b w:val="0"/>
          <w:bCs w:val="0"/>
          <w:sz w:val="28"/>
          <w:szCs w:val="28"/>
        </w:rPr>
        <w:t xml:space="preserve">32007031-ЭКСП ДИТ-2026-ДГК</w:t>
      </w:r>
      <w:r>
        <w:rPr>
          <w:rFonts w:eastAsia="Calibri"/>
          <w:b w:val="0"/>
          <w:bCs w:val="0"/>
          <w:sz w:val="28"/>
          <w:szCs w:val="28"/>
        </w:rPr>
        <w:t xml:space="preserve">)</w:t>
      </w:r>
      <w:r>
        <w:rPr>
          <w:rFonts w:eastAsia="Calibri"/>
          <w:b w:val="0"/>
          <w:bCs w:val="0"/>
          <w:sz w:val="28"/>
          <w:szCs w:val="28"/>
          <w14:ligatures w14:val="none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  <w14:ligatures w14:val="none"/>
        </w:rPr>
      </w:pP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1276" w:bottom="1275" w:left="737" w:header="709" w:footer="709" w:gutter="0"/>
          <w:cols w:num="1" w:sep="0" w:space="1701" w:equalWidth="1"/>
          <w:docGrid w:linePitch="360"/>
          <w:titlePg/>
        </w:sectPr>
      </w:pPr>
      <w:r>
        <w:rPr>
          <w:b/>
          <w:bCs/>
        </w:rPr>
      </w:r>
      <w:r>
        <w:rPr>
          <w:b/>
          <w:bCs/>
          <w:highlight w:val="none"/>
        </w:rPr>
      </w:r>
    </w:p>
    <w:p>
      <w:pPr>
        <w:pStyle w:val="881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0346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66"/>
        <w:gridCol w:w="9780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СОДЕРЖАНИЕ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81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1.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Общие сведения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1.1. 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Обозначения и сокращения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1.2.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Наименование закупаемой продукции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1.2.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Цель использования закупаемой продукции 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1.3.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Существующее положение 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  <w:lang w:val="ru-RU" w:eastAsia="ru-RU" w:bidi="ar-SA"/>
              </w:rPr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  <w:lang w:val="ru-RU" w:eastAsia="ru-RU" w:bidi="ar-SA"/>
              </w:rPr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2.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Требования к продукции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2.1.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Требования к объемам и срокам поставки,требования к продукции 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Таблица 1.1 Перечень и объем закупаемой продукции, требования к продукции 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Таблица 1.2 Перечень и объем закупаемых сопутствующих услуг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2.1.2.     Требования к срокам поставки продукции 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Таблица 2.1 Требования по срокам поставки продукции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Таблица 2.2 Требования по срокам оказания сопутствующих услуг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Таблица 3. Требования к продукции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56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3. </w:t>
            </w: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6"/>
                <w:szCs w:val="26"/>
                <w:u w:val="none"/>
                <w:lang w:val="ru-RU" w:eastAsia="ru-RU" w:bidi="ar-SA"/>
              </w:rPr>
              <w:t xml:space="preserve">Требования к документации по ценообразованию на этапе закупки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4. </w:t>
            </w: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6"/>
                <w:szCs w:val="26"/>
                <w:u w:val="none"/>
                <w:lang w:val="ru-RU" w:eastAsia="ru-RU" w:bidi="ar-SA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46" w:type="dxa"/>
            <w:vAlign w:val="center"/>
            <w:textDirection w:val="lrTb"/>
            <w:noWrap w:val="false"/>
          </w:tcPr>
          <w:p>
            <w:pPr>
              <w:pStyle w:val="881"/>
              <w:jc w:val="left"/>
              <w:spacing w:before="0" w:after="0"/>
              <w:widowControl/>
              <w:rPr>
                <w:bCs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6"/>
                <w:szCs w:val="26"/>
                <w:u w:val="none"/>
                <w:vertAlign w:val="baseline"/>
                <w:lang w:val="ru-RU" w:eastAsia="ru-RU" w:bidi="ar-SA"/>
              </w:rPr>
              <w:t xml:space="preserve">5. </w:t>
            </w: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6"/>
                <w:szCs w:val="26"/>
                <w:u w:val="none"/>
                <w:lang w:val="ru-RU" w:eastAsia="ru-RU" w:bidi="ar-SA"/>
              </w:rPr>
              <w:t xml:space="preserve">Приложения </w:t>
            </w:r>
            <w:r>
              <w:rPr>
                <w:bCs/>
                <w:i/>
                <w:sz w:val="26"/>
                <w:szCs w:val="26"/>
              </w:rPr>
            </w:r>
            <w:r>
              <w:rPr>
                <w:bCs/>
                <w:i/>
                <w:sz w:val="26"/>
                <w:szCs w:val="26"/>
              </w:rPr>
            </w:r>
          </w:p>
        </w:tc>
      </w:tr>
    </w:tbl>
    <w:p>
      <w:pPr>
        <w:pStyle w:val="881"/>
      </w:pPr>
      <w:r/>
      <w:r/>
    </w:p>
    <w:p>
      <w:pPr>
        <w:pStyle w:val="881"/>
        <w:sectPr>
          <w:footnotePr/>
          <w:endnotePr/>
          <w:type w:val="nextPage"/>
          <w:pgSz w:w="11906" w:h="16838" w:orient="portrait"/>
          <w:pgMar w:top="1134" w:right="1276" w:bottom="1275" w:left="737" w:header="709" w:footer="709" w:gutter="0"/>
          <w:cols w:num="1" w:sep="0" w:space="1701" w:equalWidth="1"/>
          <w:docGrid w:linePitch="360"/>
          <w:titlePg/>
        </w:sectPr>
      </w:pPr>
      <w:r/>
      <w:r/>
    </w:p>
    <w:p>
      <w:pPr>
        <w:pStyle w:val="998"/>
        <w:numPr>
          <w:ilvl w:val="0"/>
          <w:numId w:val="8"/>
        </w:numPr>
        <w:ind w:left="0" w:right="0" w:firstLine="0"/>
        <w:jc w:val="center"/>
        <w:keepLines/>
        <w:keepNext/>
        <w:rPr>
          <w:b/>
          <w:bCs/>
          <w:sz w:val="26"/>
          <w:szCs w:val="26"/>
          <w:highlight w:val="none"/>
        </w:rPr>
      </w:pPr>
      <w:r>
        <w:rPr>
          <w:b/>
          <w:sz w:val="24"/>
          <w:szCs w:val="24"/>
        </w:rPr>
        <w:t xml:space="preserve">Общие сведения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885"/>
        <w:numPr>
          <w:ilvl w:val="1"/>
          <w:numId w:val="3"/>
        </w:numPr>
        <w:rPr>
          <w:sz w:val="24"/>
          <w:szCs w:val="24"/>
        </w:rPr>
      </w:pP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  <w:t xml:space="preserve">Обозначения и сокращения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10401" w:type="dxa"/>
        <w:tblInd w:w="-3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06"/>
        <w:gridCol w:w="8895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6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Times New Roman" w:cs="Times New Roman"/>
                <w:b w:val="0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ПП РФ 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№ 719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95" w:type="dxa"/>
            <w:vAlign w:val="center"/>
            <w:textDirection w:val="lrTb"/>
            <w:noWrap w:val="false"/>
          </w:tcPr>
          <w:p>
            <w:pPr>
              <w:pStyle w:val="881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Постановление Правительства Российской Федерации от 17 июля 2015 г. №719 «О подтверждении производства российской промышленной продукции» 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6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Times New Roman" w:cs="Times New Roman"/>
                <w:b w:val="0"/>
                <w:bCs w:val="0"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ПП РФ 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№ 1875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95" w:type="dxa"/>
            <w:vAlign w:val="center"/>
            <w:textDirection w:val="lrTb"/>
            <w:noWrap w:val="false"/>
          </w:tcPr>
          <w:p>
            <w:pPr>
              <w:pStyle w:val="881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Постановление Правительства Российск</w:t>
            </w:r>
            <w:r>
              <w:rPr>
                <w:rFonts w:eastAsia="Times New Roman" w:cs="Times New Roman"/>
                <w:b w:val="0"/>
                <w:bCs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85"/>
        <w:numPr>
          <w:ilvl w:val="0"/>
          <w:numId w:val="0"/>
        </w:numPr>
        <w:ind w:left="0" w:firstLine="0"/>
        <w:jc w:val="both"/>
        <w:rPr>
          <w:sz w:val="10"/>
          <w:szCs w:val="10"/>
        </w:rPr>
      </w:pPr>
      <w:r>
        <w:rPr>
          <w:sz w:val="10"/>
          <w:szCs w:val="10"/>
          <w:highlight w:val="none"/>
        </w:rPr>
      </w:r>
      <w:r>
        <w:rPr>
          <w:sz w:val="10"/>
          <w:szCs w:val="10"/>
        </w:rPr>
      </w:r>
    </w:p>
    <w:p>
      <w:pPr>
        <w:pStyle w:val="885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 закупаемой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rFonts w:eastAsia="Times New Roman" w:cs="Times New Roman"/>
          <w:b w:val="0"/>
          <w:bCs w:val="0"/>
          <w:i w:val="0"/>
          <w:iCs w:val="0"/>
          <w:strike w:val="0"/>
          <w:color w:val="000000"/>
          <w:position w:val="0"/>
          <w:sz w:val="24"/>
          <w:szCs w:val="24"/>
          <w:u w:val="none"/>
          <w:vertAlign w:val="baseline"/>
          <w14:ligatures w14:val="none"/>
        </w:rPr>
      </w:pPr>
      <w:r>
        <w:rPr>
          <w:rFonts w:eastAsia="Times New Roman" w:cs="Times New Roman"/>
          <w:b w:val="0"/>
          <w:bCs w:val="0"/>
          <w:i w:val="0"/>
          <w:iCs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eastAsia="Times New Roman" w:cs="Times New Roman"/>
          <w:b w:val="0"/>
          <w:bCs w:val="0"/>
          <w:i w:val="0"/>
          <w:iCs w:val="0"/>
          <w:strike w:val="0"/>
          <w:color w:val="000000"/>
          <w:position w:val="0"/>
          <w:sz w:val="24"/>
          <w:szCs w:val="24"/>
          <w:u w:val="none"/>
          <w:vertAlign w:val="baseline"/>
        </w:rPr>
        <w:t xml:space="preserve">Поставка оборудования и материалов технологического видеонаблюдения для распредустройств и оперативного персонала для АО «ДГК» в Хабаровском крае, Приморском крае, Амурской области, Респ. Саха (Якутия), ЕАО</w:t>
      </w:r>
      <w:r>
        <w:rPr>
          <w:rFonts w:eastAsia="Times New Roman" w:cs="Times New Roman"/>
          <w:b w:val="0"/>
          <w:bCs w:val="0"/>
          <w:i w:val="0"/>
          <w:iCs w:val="0"/>
          <w:strike w:val="0"/>
          <w:color w:val="000000"/>
          <w:position w:val="0"/>
          <w:sz w:val="24"/>
          <w:szCs w:val="24"/>
          <w:u w:val="none"/>
          <w:vertAlign w:val="baseline"/>
        </w:rPr>
        <w:t xml:space="preserve">    </w:t>
      </w:r>
      <w:r>
        <w:rPr>
          <w:rFonts w:eastAsia="Times New Roman" w:cs="Times New Roman"/>
          <w:b w:val="0"/>
          <w:bCs w:val="0"/>
          <w:i w:val="0"/>
          <w:iCs w:val="0"/>
          <w:strike w:val="0"/>
          <w:color w:val="000000"/>
          <w:position w:val="0"/>
          <w:sz w:val="24"/>
          <w:szCs w:val="24"/>
          <w:u w:val="none"/>
          <w:vertAlign w:val="baseline"/>
          <w14:ligatures w14:val="none"/>
        </w:rPr>
      </w:r>
      <w:r>
        <w:rPr>
          <w:rFonts w:eastAsia="Times New Roman" w:cs="Times New Roman"/>
          <w:b w:val="0"/>
          <w:bCs w:val="0"/>
          <w:i w:val="0"/>
          <w:iCs w:val="0"/>
          <w:strike w:val="0"/>
          <w:color w:val="000000"/>
          <w:position w:val="0"/>
          <w:sz w:val="24"/>
          <w:szCs w:val="24"/>
          <w:u w:val="none"/>
          <w:vertAlign w:val="baseline"/>
          <w14:ligatures w14:val="none"/>
        </w:rPr>
      </w:r>
    </w:p>
    <w:p>
      <w:pPr>
        <w:jc w:val="both"/>
        <w:keepLines/>
        <w:keepNext/>
        <w:rPr>
          <w:rFonts w:eastAsia="Calibri"/>
          <w:b w:val="0"/>
          <w:bCs w:val="0"/>
          <w:sz w:val="24"/>
          <w:szCs w:val="24"/>
          <w14:ligatures w14:val="none"/>
        </w:rPr>
      </w:pP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highlight w:val="none"/>
          <w:u w:val="none"/>
          <w:vertAlign w:val="baseline"/>
        </w:rPr>
      </w:r>
      <w:r>
        <w:rPr>
          <w:rFonts w:eastAsia="Calibri"/>
          <w:b w:val="0"/>
          <w:bCs w:val="0"/>
          <w:sz w:val="24"/>
          <w:szCs w:val="24"/>
          <w14:ligatures w14:val="none"/>
        </w:rPr>
      </w:r>
      <w:r>
        <w:rPr>
          <w:rFonts w:eastAsia="Calibri"/>
          <w:b w:val="0"/>
          <w:bCs w:val="0"/>
          <w:sz w:val="24"/>
          <w:szCs w:val="24"/>
          <w14:ligatures w14:val="none"/>
        </w:rPr>
      </w:r>
    </w:p>
    <w:p>
      <w:pPr>
        <w:pStyle w:val="881"/>
        <w:jc w:val="both"/>
        <w:keepLines/>
        <w:keepNext/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  <w14:ligatures w14:val="none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1.3. </w:t>
      </w: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u w:val="none"/>
          <w:vertAlign w:val="baseline"/>
        </w:rPr>
        <w:t xml:space="preserve">Цель использования закупаемой продукции</w:t>
      </w: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  <w14:ligatures w14:val="none"/>
        </w:rPr>
      </w: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  <w14:ligatures w14:val="none"/>
        </w:rPr>
      </w:r>
    </w:p>
    <w:p>
      <w:pPr>
        <w:pStyle w:val="881"/>
        <w:jc w:val="both"/>
        <w:rPr>
          <w:rFonts w:eastAsia="Calibri"/>
          <w:b w:val="0"/>
          <w:bCs w:val="0"/>
          <w:sz w:val="24"/>
          <w:szCs w:val="24"/>
          <w14:ligatures w14:val="none"/>
        </w:rPr>
      </w:pP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szCs w:val="24"/>
          <w:u w:val="none"/>
          <w:vertAlign w:val="baseline"/>
        </w:rPr>
        <w:t xml:space="preserve">Применения видеофиксации при проведении вводного инструктажа по охране труда, при первичном допуске, при передаче оборудования и территории по акту-допуску подрядным организациям, согласно Протокола совещания №880 от 01.10.2025.</w:t>
      </w:r>
      <w:r>
        <w:rPr>
          <w:rFonts w:eastAsia="Calibri"/>
          <w:b w:val="0"/>
          <w:bCs w:val="0"/>
          <w:sz w:val="24"/>
          <w:szCs w:val="24"/>
          <w14:ligatures w14:val="none"/>
        </w:rPr>
      </w:r>
      <w:r>
        <w:rPr>
          <w:rFonts w:eastAsia="Calibri"/>
          <w:b w:val="0"/>
          <w:bCs w:val="0"/>
          <w:sz w:val="24"/>
          <w:szCs w:val="24"/>
          <w14:ligatures w14:val="none"/>
        </w:rPr>
      </w:r>
    </w:p>
    <w:p>
      <w:pPr>
        <w:pStyle w:val="881"/>
        <w:jc w:val="both"/>
        <w:rPr>
          <w:rFonts w:eastAsia="Calibri"/>
          <w:b w:val="0"/>
          <w:bCs w:val="0"/>
          <w:sz w:val="12"/>
          <w:szCs w:val="12"/>
          <w14:ligatures w14:val="none"/>
        </w:rPr>
      </w:pPr>
      <w:r>
        <w:rPr>
          <w:rFonts w:eastAsia="Calibri"/>
          <w:b w:val="0"/>
          <w:bCs w:val="0"/>
          <w:sz w:val="24"/>
          <w:szCs w:val="24"/>
          <w14:ligatures w14:val="none"/>
        </w:rPr>
      </w:r>
      <w:r>
        <w:rPr>
          <w:rFonts w:eastAsia="Calibri"/>
          <w:b w:val="0"/>
          <w:bCs w:val="0"/>
          <w:sz w:val="12"/>
          <w:szCs w:val="12"/>
          <w14:ligatures w14:val="none"/>
        </w:rPr>
      </w:r>
      <w:r>
        <w:rPr>
          <w:rFonts w:eastAsia="Calibri"/>
          <w:b w:val="0"/>
          <w:bCs w:val="0"/>
          <w:sz w:val="12"/>
          <w:szCs w:val="12"/>
          <w14:ligatures w14:val="none"/>
        </w:rPr>
      </w:r>
    </w:p>
    <w:p>
      <w:pPr>
        <w:pStyle w:val="882"/>
        <w:numPr>
          <w:ilvl w:val="0"/>
          <w:numId w:val="3"/>
        </w:numPr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0" w:name="_Toc75446573"/>
      <w:r/>
      <w:bookmarkStart w:id="1" w:name="_Toc51339693"/>
      <w:r>
        <w:rPr>
          <w:iCs/>
          <w:sz w:val="24"/>
          <w:szCs w:val="24"/>
        </w:rPr>
        <w:t xml:space="preserve">Требования к продукции</w:t>
      </w:r>
      <w:bookmarkEnd w:id="0"/>
      <w:r/>
      <w:bookmarkEnd w:id="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885"/>
        <w:numPr>
          <w:ilvl w:val="1"/>
          <w:numId w:val="3"/>
        </w:numPr>
        <w:jc w:val="both"/>
        <w:rPr>
          <w:sz w:val="24"/>
          <w:szCs w:val="24"/>
        </w:rPr>
      </w:pPr>
      <w:r/>
      <w:bookmarkStart w:id="2" w:name="_Toc75446574"/>
      <w:r>
        <w:rPr>
          <w:sz w:val="24"/>
          <w:szCs w:val="24"/>
        </w:rPr>
        <w:t xml:space="preserve">Требования к объемам и срокам поставки</w:t>
      </w:r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4"/>
        <w:numPr>
          <w:ilvl w:val="2"/>
          <w:numId w:val="3"/>
        </w:numPr>
        <w:ind w:left="0" w:firstLine="0"/>
        <w:jc w:val="both"/>
        <w:rPr>
          <w:sz w:val="24"/>
          <w:szCs w:val="24"/>
        </w:rPr>
      </w:pPr>
      <w:r/>
      <w:bookmarkStart w:id="3" w:name="_Toc75446575"/>
      <w:r>
        <w:rPr>
          <w:sz w:val="24"/>
          <w:szCs w:val="24"/>
        </w:rPr>
        <w:t xml:space="preserve">Перечень и объем закупаемой продукции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  <w:t xml:space="preserve">Перечень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необходимой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в  Приложении №1 и Приложении № 2 к настоящим Техническим требованиям.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84"/>
        <w:numPr>
          <w:ilvl w:val="2"/>
          <w:numId w:val="3"/>
        </w:numPr>
        <w:ind w:left="0" w:firstLine="0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pPr>
      <w:r/>
      <w:bookmarkStart w:id="4" w:name="_Toc75446578"/>
      <w:r/>
      <w:bookmarkStart w:id="5" w:name="_Toc51339696"/>
      <w:r>
        <w:t xml:space="preserve">Требования </w:t>
      </w:r>
      <w:bookmarkEnd w:id="5"/>
      <w:r>
        <w:t xml:space="preserve">к срокам поставки продукции</w:t>
      </w:r>
      <w:bookmarkEnd w:id="4"/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</w:p>
    <w:p>
      <w:pPr>
        <w:pStyle w:val="882"/>
        <w:numPr>
          <w:ilvl w:val="0"/>
          <w:numId w:val="0"/>
        </w:numPr>
        <w:ind w:left="0" w:firstLine="0"/>
        <w:rPr>
          <w:b/>
          <w:bCs/>
        </w:rPr>
      </w:pPr>
      <w:r>
        <w:rPr>
          <w:rFonts w:eastAsia="Times New Roman" w:cs="Times New Roman"/>
          <w:b/>
          <w:bCs/>
          <w:i w:val="0"/>
          <w:strike w:val="0"/>
          <w:color w:val="000000"/>
          <w:position w:val="0"/>
          <w:sz w:val="24"/>
          <w:u w:val="none"/>
          <w:vertAlign w:val="baseline"/>
        </w:rPr>
        <w:t xml:space="preserve">Таблица 2.1 Требования по срокам поставки продукции</w:t>
      </w:r>
      <w:r>
        <w:rPr>
          <w:b/>
          <w:bCs/>
        </w:rPr>
      </w:r>
      <w:r>
        <w:rPr>
          <w:b/>
          <w:bCs/>
        </w:rPr>
      </w:r>
    </w:p>
    <w:tbl>
      <w:tblPr>
        <w:tblW w:w="1053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6"/>
        <w:gridCol w:w="4402"/>
        <w:gridCol w:w="2626"/>
        <w:gridCol w:w="2943"/>
      </w:tblGrid>
      <w:tr>
        <w:tblPrEx/>
        <w:trPr>
          <w:trHeight w:val="82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02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продукции /</w:t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партии продукции</w:t>
            </w:r>
            <w:r>
              <w:rPr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1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02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2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pPr>
              <w:pStyle w:val="1014"/>
              <w:ind w:left="0" w:right="0" w:firstLine="0"/>
              <w:jc w:val="center"/>
              <w:keepNext w:val="0"/>
              <w:spacing w:before="0" w:after="0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3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pStyle w:val="1014"/>
              <w:ind w:left="0" w:right="0" w:firstLine="0"/>
              <w:jc w:val="center"/>
              <w:keepNext w:val="0"/>
              <w:spacing w:before="0" w:after="0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4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998"/>
              <w:numPr>
                <w:ilvl w:val="0"/>
                <w:numId w:val="6"/>
              </w:numPr>
              <w:ind w:left="0" w:hanging="360"/>
              <w:jc w:val="center"/>
              <w:widowControl w:val="off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02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Продукция по л</w:t>
            </w:r>
            <w:r>
              <w:rPr>
                <w:sz w:val="24"/>
                <w:szCs w:val="24"/>
              </w:rPr>
              <w:t xml:space="preserve">оту «</w:t>
            </w:r>
            <w:r>
              <w:rPr>
                <w:sz w:val="24"/>
                <w:szCs w:val="24"/>
              </w:rPr>
              <w:t xml:space="preserve">ОКПД2 26.40.33 Поставка оборудования и материалов технологического видеонаблюдения для распредустройств и оперативного персонала для АО «ДГК» в Хабаровском крае, Приморском крае, Амурской области, Респ. Саха (Якутия), ЕАО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 даты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widowControl w:val="off"/>
            </w:pPr>
            <w:r>
              <w:rPr>
                <w:sz w:val="24"/>
                <w:szCs w:val="24"/>
              </w:rPr>
              <w:t xml:space="preserve">в течение 90 (девяноста) календарных дней с даты заключения договора</w:t>
            </w:r>
            <w:r/>
          </w:p>
        </w:tc>
      </w:tr>
    </w:tbl>
    <w:p>
      <w:pPr>
        <w:pStyle w:val="881"/>
      </w:pPr>
      <w:r/>
      <w:r/>
    </w:p>
    <w:p>
      <w:pPr>
        <w:pStyle w:val="881"/>
        <w:ind w:left="0" w:right="0" w:firstLine="283"/>
        <w:rPr>
          <w:b/>
          <w:bCs/>
          <w:highlight w:val="none"/>
        </w:rPr>
      </w:pPr>
      <w:r>
        <w:rPr>
          <w:rFonts w:eastAsia="Times New Roman" w:cs="Times New Roman"/>
          <w:b/>
          <w:bCs/>
          <w:i w:val="0"/>
          <w:strike w:val="0"/>
          <w:color w:val="000000"/>
          <w:position w:val="0"/>
          <w:sz w:val="24"/>
          <w:u w:val="none"/>
          <w:vertAlign w:val="baseline"/>
        </w:rPr>
        <w:t xml:space="preserve">Таблица 2.2 Требования по срокам оказания сопутствующих услуг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0398" w:type="dxa"/>
        <w:tblInd w:w="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20"/>
        <w:gridCol w:w="3357"/>
        <w:gridCol w:w="4111"/>
        <w:gridCol w:w="2409"/>
      </w:tblGrid>
      <w:tr>
        <w:tblPrEx/>
        <w:trPr>
          <w:trHeight w:val="4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0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п/п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7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Наименование услуг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pStyle w:val="881"/>
              <w:ind w:left="0" w:right="0" w:firstLine="0"/>
              <w:jc w:val="center"/>
              <w:spacing w:before="0" w:after="0"/>
              <w:widowControl/>
              <w:rPr>
                <w:rFonts w:eastAsia="Times New Roman" w:cs="Times New Roman"/>
                <w:b/>
                <w:bCs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Требования </w:t>
            </w:r>
            <w:r>
              <w:rPr>
                <w:rFonts w:eastAsia="Times New Roman" w:cs="Times New Roman"/>
                <w:b/>
                <w:bCs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к началу срока </w:t>
            </w:r>
            <w:r>
              <w:rPr>
                <w:b/>
                <w:bCs/>
              </w:rPr>
            </w:r>
          </w:p>
          <w:p>
            <w:pPr>
              <w:ind w:left="0" w:right="0" w:firstLine="0"/>
              <w:jc w:val="center"/>
              <w:spacing w:before="0" w:after="0"/>
              <w:widowControl/>
              <w:rPr>
                <w:b/>
                <w:bCs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оказания услуг</w:t>
            </w: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Примечание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0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1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7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3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5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53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98" w:type="dxa"/>
            <w:vAlign w:val="center"/>
            <w:textDirection w:val="lrTb"/>
            <w:noWrap w:val="false"/>
          </w:tcPr>
          <w:p>
            <w:pPr>
              <w:pStyle w:val="881"/>
              <w:jc w:val="center"/>
              <w:spacing w:before="0" w:after="0"/>
              <w:widowControl/>
              <w:rPr>
                <w:b w:val="0"/>
                <w:bCs w:val="0"/>
                <w:i w:val="0"/>
                <w:iCs w:val="0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Отсутствуют</w:t>
            </w:r>
            <w:r>
              <w:rPr>
                <w:b w:val="0"/>
                <w:bCs w:val="0"/>
                <w:i w:val="0"/>
                <w:iCs w:val="0"/>
              </w:rPr>
            </w:r>
            <w:r>
              <w:rPr>
                <w:b w:val="0"/>
                <w:bCs w:val="0"/>
                <w:i w:val="0"/>
                <w:iCs w:val="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81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  <w:sectPr>
          <w:footnotePr/>
          <w:endnotePr/>
          <w:type w:val="nextPage"/>
          <w:pgSz w:w="11906" w:h="16838" w:orient="portrait"/>
          <w:pgMar w:top="1134" w:right="823" w:bottom="1275" w:left="737" w:header="709" w:footer="709" w:gutter="0"/>
          <w:cols w:num="1" w:sep="0" w:space="1701" w:equalWidth="1"/>
          <w:docGrid w:linePitch="360"/>
          <w:titlePg/>
        </w:sect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tbl>
      <w:tblPr>
        <w:tblW w:w="15285" w:type="dxa"/>
        <w:tblInd w:w="-14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85"/>
      </w:tblGrid>
      <w:tr>
        <w:tblPrEx/>
        <w:trPr>
          <w:trHeight w:val="3013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15285" w:type="dxa"/>
            <w:vAlign w:val="center"/>
            <w:textDirection w:val="lrTb"/>
            <w:noWrap w:val="false"/>
          </w:tcPr>
          <w:p>
            <w:pPr>
              <w:pStyle w:val="882"/>
              <w:numPr>
                <w:ilvl w:val="0"/>
                <w:numId w:val="0"/>
              </w:numPr>
              <w:ind w:left="142" w:right="-86" w:firstLine="0"/>
              <w:jc w:val="both"/>
              <w:spacing w:before="12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Таблица 3. Дополнительные требования к продукции 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tbl>
            <w:tblPr>
              <w:tblW w:w="15007" w:type="dxa"/>
              <w:tblInd w:w="3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3987"/>
              <w:gridCol w:w="3844"/>
              <w:gridCol w:w="1690"/>
              <w:gridCol w:w="2845"/>
              <w:gridCol w:w="1985"/>
            </w:tblGrid>
            <w:tr>
              <w:tblPrEx/>
              <w:trPr>
                <w:trHeight w:val="505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№ </w:t>
                  </w: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п/п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Наименование параметра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Требование заказчика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53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Способ подтверждения участником соответствия требованиям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939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81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81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81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требованием/ указание характеристик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  <w:highlight w:val="none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Предоставление подтверждающего документа или иной способ подтверждения</w:t>
                  </w:r>
                  <w:r>
                    <w:rPr>
                      <w:b/>
                      <w:bCs/>
                      <w:sz w:val="22"/>
                      <w:szCs w:val="22"/>
                      <w:highlight w:val="none"/>
                    </w:rPr>
                  </w:r>
                  <w:r>
                    <w:rPr>
                      <w:b/>
                      <w:bCs/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81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304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1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2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3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4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5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bCs/>
                      <w:sz w:val="22"/>
                      <w:szCs w:val="22"/>
                      <w:lang w:val="ru-RU" w:eastAsia="ru-RU" w:bidi="ar-SA"/>
                    </w:rPr>
                    <w:t xml:space="preserve">6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8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contextualSpacing/>
                    <w:ind w:left="0" w:right="0" w:firstLine="0"/>
                    <w:jc w:val="left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1.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831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left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  <w:highlight w:val="none"/>
                    </w:rPr>
                    <w:suppressLineNumbers w:val="0"/>
                  </w:pPr>
                  <w:r>
                    <w:rPr>
                      <w:b/>
                      <w:sz w:val="22"/>
                      <w:szCs w:val="22"/>
                      <w:lang w:val="ru-RU" w:eastAsia="ru-RU" w:bidi="ar-SA"/>
                    </w:rPr>
                    <w:t xml:space="preserve">Требования к безопасности</w:t>
                  </w:r>
                  <w:r>
                    <w:rPr>
                      <w:b/>
                      <w:bCs/>
                      <w:sz w:val="22"/>
                      <w:szCs w:val="22"/>
                      <w:highlight w:val="none"/>
                    </w:rPr>
                  </w:r>
                  <w:r>
                    <w:rPr>
                      <w:b/>
                      <w:bCs/>
                      <w:sz w:val="22"/>
                      <w:szCs w:val="22"/>
                      <w:highlight w:val="none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202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998"/>
                    <w:contextualSpacing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1.1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both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Требования безо</w:t>
                  </w: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both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Все поставляемое оборудование должно отвечать требованием Технического регламента таможенного союза ТР ТС 004/2011 «О безопасности низковольтного оборудования» от 16.08.2011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en-US" w:eastAsia="ru-RU" w:bidi="ar-SA"/>
                    </w:rPr>
                    <w:t xml:space="preserve">-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color w:val="ff0000"/>
                      <w:sz w:val="22"/>
                      <w:szCs w:val="22"/>
                    </w:rPr>
                    <w:suppressLineNumbers w:val="0"/>
                  </w:pPr>
                  <w:r>
                    <w:rPr>
                      <w:color w:val="ff0000"/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color w:val="ff0000"/>
                      <w:sz w:val="22"/>
                      <w:szCs w:val="22"/>
                    </w:rPr>
                  </w:r>
                  <w:r>
                    <w:rPr>
                      <w:color w:val="ff0000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41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  <w:highlight w:val="none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2.</w:t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831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left"/>
                    <w:spacing w:before="0" w:beforeAutospacing="0" w:after="0" w:afterAutospacing="0" w:line="240" w:lineRule="auto"/>
                    <w:widowControl/>
                    <w:rPr>
                      <w:b/>
                      <w:bCs/>
                      <w:sz w:val="22"/>
                      <w:szCs w:val="22"/>
                      <w:highlight w:val="none"/>
                    </w:rPr>
                    <w:suppressLineNumbers w:val="0"/>
                  </w:pPr>
                  <w:r>
                    <w:rPr>
                      <w:b/>
                      <w:sz w:val="22"/>
                      <w:szCs w:val="22"/>
                      <w:lang w:val="ru-RU" w:eastAsia="ru-RU" w:bidi="ar-SA"/>
                    </w:rPr>
                    <w:t xml:space="preserve">Прочие (дополнительные) требования к продукции:</w:t>
                  </w:r>
                  <w:r>
                    <w:rPr>
                      <w:b/>
                      <w:bCs/>
                      <w:sz w:val="22"/>
                      <w:szCs w:val="22"/>
                      <w:highlight w:val="none"/>
                    </w:rPr>
                  </w:r>
                  <w:r>
                    <w:rPr>
                      <w:b/>
                      <w:bCs/>
                      <w:sz w:val="22"/>
                      <w:szCs w:val="22"/>
                      <w:highlight w:val="none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1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2.1.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left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Требования к порядку поставки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contextualSpacing/>
                    <w:ind w:left="0" w:right="0"/>
                    <w:jc w:val="both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Cs w:val="0"/>
                      <w:i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  <w:r>
                    <w:rPr>
                      <w:bCs w:val="0"/>
                      <w:i w:val="0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en-US" w:eastAsia="ru-RU" w:bidi="ar-SA"/>
                    </w:rPr>
                    <w:t xml:space="preserve">-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103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2.2.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left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Требования к году изготовления оборудования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both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Год изготовления – не ранее 2025 г.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Cs w:val="0"/>
                      <w:i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  <w:r>
                    <w:rPr>
                      <w:bCs w:val="0"/>
                      <w:i w:val="0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en-US" w:eastAsia="ru-RU" w:bidi="ar-SA"/>
                    </w:rPr>
                    <w:t xml:space="preserve">-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116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4"/>
                      <w:szCs w:val="24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2.3.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b/>
                      <w:bCs w:val="0"/>
                      <w:i w:val="0"/>
                      <w:sz w:val="22"/>
                      <w:szCs w:val="22"/>
                      <w:highlight w:val="none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hint="cs" w:ascii="Times New Roman" w:hAnsi="Times New Roman" w:eastAsia="Times New Roman" w:cs="Times New Roman"/>
                      <w:iCs/>
                      <w:color w:val="auto"/>
                      <w:sz w:val="22"/>
                      <w:szCs w:val="22"/>
                    </w:rPr>
                    <w:t xml:space="preserve">По позициям </w:t>
                  </w:r>
                  <w:r>
                    <w:rPr>
                      <w:rFonts w:hint="cs" w:ascii="Times New Roman" w:hAnsi="Times New Roman" w:eastAsia="Times New Roman" w:cs="Times New Roman"/>
                      <w:iCs/>
                      <w:color w:val="auto"/>
                      <w:sz w:val="22"/>
                      <w:szCs w:val="22"/>
                    </w:rPr>
                    <w:t xml:space="preserve">Приложения №1 к настоящим Техническим требованиям </w:t>
                  </w:r>
                  <w:r>
                    <w:rPr>
                      <w:rFonts w:hint="cs" w:ascii="Times New Roman" w:hAnsi="Times New Roman" w:eastAsia="Times New Roman" w:cs="Times New Roman"/>
                      <w:b/>
                      <w:bCs/>
                      <w:iCs/>
                      <w:color w:val="auto"/>
                      <w:sz w:val="22"/>
                      <w:szCs w:val="22"/>
                    </w:rPr>
                    <w:t xml:space="preserve">у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2"/>
                      <w:szCs w:val="22"/>
                    </w:rPr>
                    <w:t xml:space="preserve">становлен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i w:val="0"/>
                      <w:iCs w:val="0"/>
                      <w:sz w:val="22"/>
                      <w:szCs w:val="22"/>
                      <w:lang w:eastAsia="ru-RU"/>
                    </w:rPr>
                    <w:t xml:space="preserve">режим ограничения закупки иностранной продукции (когда национальный режим не предоставляется).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2"/>
                      <w:szCs w:val="22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 w:val="0"/>
                      <w:i w:val="0"/>
                      <w:sz w:val="22"/>
                      <w:szCs w:val="22"/>
                      <w:highlight w:val="none"/>
                      <w:lang w:eastAsia="ru-RU"/>
                    </w:rPr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 w:val="0"/>
                      <w:iCs w:val="0"/>
                      <w:sz w:val="22"/>
                      <w:szCs w:val="22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i w:val="0"/>
                      <w:iCs w:val="0"/>
                      <w:sz w:val="22"/>
                      <w:szCs w:val="22"/>
                      <w:highlight w:val="none"/>
                      <w:lang w:eastAsia="ru-RU"/>
                    </w:rPr>
                  </w:r>
                </w:p>
                <w:p>
                  <w:pPr>
                    <w:pStyle w:val="1031"/>
                    <w:ind w:left="0" w:right="0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eastAsia="Times New Roman" w:cs="Times New Roman"/>
                      <w:color w:val="auto"/>
                      <w:sz w:val="24"/>
                      <w:szCs w:val="24"/>
                      <w:highlight w:val="none"/>
                    </w:rPr>
                    <w:suppressLineNumbers w:val="0"/>
                  </w:pP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При осуществлении закупки товара,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если Правительством РФ установлено </w:t>
                  </w:r>
                  <w:hyperlink r:id="rId13" w:tooltip="https://login.consultant.ru/link/?req=doc&amp;base=LAW&amp;n=494318&amp;dst=100007" w:history="1">
                    <w:r>
                      <w:rPr>
                        <w:rFonts w:eastAsia="Times New Roman" w:cs="Times New Roman"/>
                        <w:color w:val="auto"/>
                        <w:sz w:val="22"/>
                        <w:szCs w:val="22"/>
                        <w:lang w:eastAsia="ru-RU"/>
                      </w:rPr>
                      <w:t xml:space="preserve">ограничение</w:t>
                    </w:r>
                  </w:hyperlink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 закупок товаров, происходящих из иностранных государств (по перечню </w:t>
                  </w:r>
                  <w:r>
                    <w:rPr>
                      <w:rFonts w:eastAsia="Times New Roman" w:cs="Times New Roman"/>
                      <w:i w:val="0"/>
                      <w:iCs w:val="0"/>
                      <w:caps w:val="0"/>
                      <w:smallCaps w:val="0"/>
                      <w:color w:val="000000"/>
                      <w:spacing w:val="0"/>
                      <w:sz w:val="22"/>
                      <w:szCs w:val="22"/>
                      <w:shd w:val="clear" w:color="auto" w:fill="ffffff"/>
                    </w:rPr>
                    <w:t xml:space="preserve">согласно приложению №2</w:t>
                  </w:r>
                  <w:r>
                    <w:rPr>
                      <w:rFonts w:eastAsia="Times New Roman" w:cs="Times New Roman"/>
                      <w:i w:val="0"/>
                      <w:iCs w:val="0"/>
                      <w:caps w:val="0"/>
                      <w:smallCaps w:val="0"/>
                      <w:color w:val="000000"/>
                      <w:spacing w:val="0"/>
                      <w:sz w:val="22"/>
                      <w:szCs w:val="22"/>
                      <w:shd w:val="clear" w:color="auto" w:fill="ffffff"/>
                      <w:lang w:val="ru-RU"/>
                    </w:rPr>
                    <w:t xml:space="preserve"> ПП РФ № 1875)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, 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не допускаются: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highlight w:val="none"/>
                      <w:lang w:eastAsia="ru-RU"/>
                    </w:rPr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1031"/>
                    <w:ind w:left="0" w:right="0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</w:p>
                <w:p>
                  <w:pPr>
                    <w:pStyle w:val="1031"/>
                    <w:ind w:left="0" w:right="0" w:firstLine="0"/>
                    <w:jc w:val="left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  <w:suppressLineNumbers w:val="0"/>
                  </w:pP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eastAsia="ru-RU"/>
                    </w:rPr>
      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</w:t>
                  </w:r>
                  <w:r>
                    <w:rPr>
                      <w:rFonts w:eastAsia="Times New Roman" w:cs="Times New Roman"/>
                      <w:i w:val="0"/>
                      <w:iCs w:val="0"/>
                      <w:caps w:val="0"/>
                      <w:smallCaps w:val="0"/>
                      <w:color w:val="000000"/>
                      <w:spacing w:val="0"/>
                      <w:sz w:val="22"/>
                      <w:szCs w:val="22"/>
                      <w:shd w:val="clear" w:color="auto" w:fill="ffffff"/>
                    </w:rPr>
                    <w:t xml:space="preserve">, по перечню согласно приложению №2</w:t>
                  </w:r>
                  <w:r>
                    <w:rPr>
                      <w:rFonts w:eastAsia="Times New Roman" w:cs="Times New Roman"/>
                      <w:i w:val="0"/>
                      <w:iCs w:val="0"/>
                      <w:caps w:val="0"/>
                      <w:smallCaps w:val="0"/>
                      <w:color w:val="000000"/>
                      <w:spacing w:val="0"/>
                      <w:sz w:val="22"/>
                      <w:szCs w:val="22"/>
                      <w:shd w:val="clear" w:color="auto" w:fill="ffffff"/>
                      <w:lang w:val="ru-RU"/>
                    </w:rPr>
                    <w:t xml:space="preserve"> ПП РФ № 1875.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u w:val="none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</w:r>
                </w:p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cs="Times New Roman"/>
                      <w:color w:val="auto"/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</w:p>
                <w:p>
                  <w:pPr>
                    <w:pStyle w:val="881"/>
                    <w:ind w:left="0" w:right="0"/>
                    <w:jc w:val="left"/>
                    <w:spacing w:before="0" w:beforeAutospacing="0" w:after="0" w:afterAutospacing="0" w:line="240" w:lineRule="auto"/>
                    <w:widowControl/>
                    <w:rPr>
                      <w:sz w:val="24"/>
                      <w:szCs w:val="24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numPr>
                      <w:ilvl w:val="0"/>
                      <w:numId w:val="0"/>
                    </w:numPr>
                    <w:contextualSpacing w:val="0"/>
                    <w:ind w:left="57" w:right="0" w:firstLine="0"/>
                    <w:jc w:val="both"/>
                    <w:keepLines w:val="0"/>
                    <w:keepNext w:val="0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Предлагаемая к поставке </w:t>
                  </w: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val="ru-RU" w:eastAsia="en-US" w:bidi="ar-SA"/>
                    </w:rPr>
                    <w:t xml:space="preserve">продукц</w:t>
                  </w: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val="ru-RU" w:eastAsia="en-US" w:bidi="ar-SA"/>
                    </w:rPr>
                    <w:t xml:space="preserve">ия должна быть включена в </w:t>
                  </w: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val="ru-RU" w:eastAsia="en-US" w:bidi="ar-SA"/>
                    </w:rPr>
                    <w:t xml:space="preserve">р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ее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стр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ы (в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 зависимости от происхождения товара),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а именно: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4"/>
                      <w:szCs w:val="24"/>
                    </w:rPr>
                  </w:r>
                </w:p>
                <w:p>
                  <w:pPr>
                    <w:pStyle w:val="998"/>
                    <w:numPr>
                      <w:ilvl w:val="0"/>
                      <w:numId w:val="16"/>
                    </w:numPr>
                    <w:contextualSpacing w:val="0"/>
                    <w:ind w:left="317" w:right="0" w:hanging="249"/>
                    <w:jc w:val="both"/>
                    <w:keepLines w:val="0"/>
                    <w:keepNext w:val="0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Реестр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российской промышленной продукции, предусмотренн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ый статьей 17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vertAlign w:val="superscript"/>
                      <w:lang w:val="ru-RU" w:eastAsia="ru-RU" w:bidi="ar-SA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 Федерального закона «О промышленной политике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 в Российской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Федерации», содержащий в том числе: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</w:p>
                <w:p>
                  <w:pPr>
                    <w:pStyle w:val="998"/>
                    <w:numPr>
                      <w:ilvl w:val="0"/>
                      <w:numId w:val="17"/>
                    </w:numPr>
                    <w:contextualSpacing w:val="0"/>
                    <w:ind w:left="318" w:right="0" w:hanging="193"/>
                    <w:jc w:val="both"/>
                    <w:keepLines w:val="0"/>
                    <w:keepNext w:val="0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информацию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о совок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упном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ПП РФ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 от 17 июля 2015 г. №719 «О подтверждении производства российской промы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шленной продукции» за выполнение (освоение) на территории Российской Федерации соответствующих операций (условий) уста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новлены требования о совокупном количестве баллов), которое составляет или превышает значение, определенное ПП РФ от 17 июля 2015 г. №719;</w:t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</w:p>
                <w:p>
                  <w:pPr>
                    <w:pStyle w:val="998"/>
                    <w:numPr>
                      <w:ilvl w:val="0"/>
                      <w:numId w:val="17"/>
                    </w:numPr>
                    <w:contextualSpacing w:val="0"/>
                    <w:ind w:left="318" w:right="0" w:hanging="193"/>
                    <w:jc w:val="both"/>
                    <w:keepLines w:val="0"/>
                    <w:keepNext w:val="0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информацию об уровне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радиоэлектронной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продукции (для товара, являющегося в соответствии с ПП РФ от 17 июля 2015 г. №719 радиоэлектронной продукцией первого уровня или радиоэлектронной пр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одукцией второго уровня).</w:t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</w:p>
                <w:p>
                  <w:pPr>
                    <w:pStyle w:val="998"/>
                    <w:numPr>
                      <w:ilvl w:val="0"/>
                      <w:numId w:val="16"/>
                    </w:numPr>
                    <w:contextualSpacing w:val="0"/>
                    <w:ind w:left="317" w:right="0" w:hanging="249"/>
                    <w:jc w:val="both"/>
                    <w:keepLines w:val="0"/>
                    <w:keepNext w:val="0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Реестр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промышленной продукции, произведенной на территории государства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 - члена Евразийского экономического союза, за иск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л</w:t>
                  </w:r>
                  <w:r>
                    <w:rPr>
                      <w:rFonts w:hint="default" w:ascii="Times New Roman" w:hAnsi="Times New Roman" w:eastAsia="Times New Roman" w:cs="Times New Roman" w:eastAsiaTheme="minorHAnsi"/>
                      <w:i w:val="0"/>
                      <w:iCs w:val="0"/>
                      <w:color w:val="auto"/>
                      <w:sz w:val="22"/>
                      <w:szCs w:val="22"/>
                      <w:lang w:eastAsia="en-US"/>
                    </w:rPr>
                    <w:t xml:space="preserve">ючением Российской Федерации</w:t>
                  </w:r>
                  <w:r>
                    <w:rPr>
                      <w:rFonts w:hint="default" w:ascii="Times New Roman" w:hAnsi="Times New Roman" w:eastAsia="Times New Roman" w:cs="Times New Roman" w:eastAsiaTheme="minorHAnsi"/>
                      <w:i w:val="0"/>
                      <w:iCs w:val="0"/>
                      <w:color w:val="auto"/>
                      <w:sz w:val="22"/>
                      <w:szCs w:val="22"/>
                      <w:lang w:eastAsia="en-US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  <w:t xml:space="preserve">содержащей в том числе:</w:t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</w:p>
                <w:p>
                  <w:pPr>
                    <w:pStyle w:val="998"/>
                    <w:numPr>
                      <w:ilvl w:val="0"/>
                      <w:numId w:val="18"/>
                    </w:numPr>
                    <w:contextualSpacing w:val="0"/>
                    <w:ind w:left="318" w:right="0" w:hanging="193"/>
                    <w:jc w:val="both"/>
                    <w:keepLines w:val="0"/>
                    <w:keepNext w:val="0"/>
                    <w:spacing w:before="0" w:beforeAutospacing="0" w:after="0" w:afterAutospacing="0" w:line="240" w:lineRule="auto"/>
                    <w:widowControl w:val="off"/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 w:eastAsia="ru-RU" w:bidi="ar-SA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информацию об уровне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радиоэлектронной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Cs w:val="0"/>
                      <w:i w:val="0"/>
                      <w:caps w:val="0"/>
                      <w:smallCaps w:val="0"/>
                      <w:color w:val="000000" w:themeColor="text1"/>
                      <w:spacing w:val="0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Cs w:val="0"/>
                      <w:i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  <w:r>
                    <w:rPr>
                      <w:bCs w:val="0"/>
                      <w:i w:val="0"/>
                      <w:sz w:val="24"/>
                      <w:szCs w:val="24"/>
                    </w:rPr>
                  </w:r>
                </w:p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i w:val="0"/>
                      <w:i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shd w:val="clear" w:color="ffffff" w:themeColor="background1" w:fill="ffffff" w:themeFill="background1"/>
                    <w:rPr>
                      <w:rFonts w:hint="default" w:ascii="Times New Roman" w:hAnsi="Times New Roman" w:cs="Times New Roman" w:eastAsiaTheme="minorHAnsi"/>
                      <w:i w:val="0"/>
                      <w:iCs w:val="0"/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Times New Roman" w:hAnsi="Times New Roman" w:eastAsia="Times New Roman" w:cs="Times New Roman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</w:rPr>
                    <w:t xml:space="preserve">Для подтверждения страны происхождения предлагаемой к поставке продукции  У</w:t>
                  </w: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  <w:lang w:eastAsia="en-US"/>
                    </w:rPr>
                    <w:t xml:space="preserve">частник должен предоставить в составе заявки  Коммерческое предложение по форме, установленной Документацией о закупке, с указанием в отношении поставляемой продукции информации</w:t>
                  </w:r>
                  <w:r>
                    <w:rPr>
                      <w:rFonts w:hint="default"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  <w:lang w:val="ru-RU" w:eastAsia="en-US"/>
                    </w:rPr>
                    <w:t xml:space="preserve">: </w:t>
                  </w:r>
                  <w:r>
                    <w:rPr>
                      <w:rFonts w:hint="default" w:ascii="Times New Roman" w:hAnsi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</w:rPr>
                  </w:r>
                  <w:r>
                    <w:rPr>
                      <w:rFonts w:hint="default" w:ascii="Times New Roman" w:hAnsi="Times New Roman" w:cs="Times New Roman" w:eastAsiaTheme="minorHAnsi"/>
                      <w:i w:val="0"/>
                      <w:iCs w:val="0"/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998"/>
                    <w:numPr>
                      <w:ilvl w:val="0"/>
                      <w:numId w:val="11"/>
                    </w:numPr>
                    <w:ind w:left="334" w:right="0" w:hanging="210"/>
                    <w:jc w:val="both"/>
                    <w:shd w:val="clear" w:color="ffffff" w:themeColor="background1" w:fill="ffffff" w:themeFill="background1"/>
                    <w:rPr>
                      <w:rFonts w:ascii="Times New Roman" w:hAnsi="Times New Roman" w:cs="Times New Roman" w:eastAsiaTheme="minorHAnsi"/>
                      <w:bCs w:val="0"/>
                      <w:i w:val="0"/>
                      <w:color w:val="000000" w:themeColor="text1"/>
                      <w:sz w:val="24"/>
                      <w:szCs w:val="24"/>
                      <w:highlight w:val="white"/>
                    </w:rPr>
                    <w:suppressLineNumbers w:val="0"/>
                  </w:pPr>
                  <w:r>
                    <w:rPr>
                      <w:rFonts w:hint="default"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  <w:lang w:val="ru-RU" w:eastAsia="en-US"/>
                    </w:rPr>
                    <w:t xml:space="preserve">наименование реестра;</w:t>
                  </w:r>
                  <w:r>
                    <w:rPr>
                      <w:rFonts w:ascii="Times New Roman" w:hAnsi="Times New Roman" w:cs="Times New Roman" w:eastAsiaTheme="minorHAnsi"/>
                      <w:bCs w:val="0"/>
                      <w:i w:val="0"/>
                      <w:color w:val="000000" w:themeColor="text1"/>
                      <w:sz w:val="22"/>
                      <w:szCs w:val="22"/>
                      <w:highlight w:val="white"/>
                    </w:rPr>
                  </w:r>
                  <w:r>
                    <w:rPr>
                      <w:rFonts w:ascii="Times New Roman" w:hAnsi="Times New Roman" w:cs="Times New Roman" w:eastAsiaTheme="minorHAnsi"/>
                      <w:bCs w:val="0"/>
                      <w:i w:val="0"/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998"/>
                    <w:numPr>
                      <w:ilvl w:val="0"/>
                      <w:numId w:val="11"/>
                    </w:numPr>
                    <w:ind w:left="334" w:right="0" w:hanging="210"/>
                    <w:jc w:val="both"/>
                    <w:shd w:val="clear" w:color="ffffff" w:themeColor="background1" w:fill="ffffff" w:themeFill="background1"/>
                    <w:rPr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  <w:lang w:eastAsia="en-US"/>
                    </w:rPr>
                    <w:t xml:space="preserve">номе</w:t>
                  </w: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  <w:lang w:eastAsia="en-US"/>
                    </w:rPr>
                    <w:t xml:space="preserve">р (номера) реестровой записи (реестровых записей) соответствующего реестра</w:t>
                  </w: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  <w:lang w:eastAsia="en-US"/>
                    </w:rPr>
                    <w:t xml:space="preserve">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34" w:right="0" w:firstLine="0"/>
                    <w:jc w:val="both"/>
                    <w:shd w:val="clear" w:color="ffffff" w:themeColor="background1" w:fill="ffffff" w:themeFill="background1"/>
                    <w:rPr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none"/>
                      <w:lang w:eastAsia="en-US"/>
                    </w:rPr>
                  </w:r>
                  <w:r>
                    <w:rPr>
                      <w:rFonts w:ascii="Times New Roman" w:hAnsi="Times New Roman" w:eastAsia="Times New Roman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highlight w:val="none"/>
                      <w:lang w:eastAsia="en-US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0" w:right="0"/>
                    <w:jc w:val="both"/>
                    <w:rPr>
                      <w:rFonts w:eastAsia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 w:eastAsiaTheme="minorHAnsi"/>
                      <w:i/>
                      <w:iCs/>
                      <w:color w:val="000000" w:themeColor="text1"/>
                      <w:sz w:val="22"/>
                      <w:szCs w:val="22"/>
                      <w:highlight w:val="none"/>
                      <w:lang w:eastAsia="en-US"/>
                    </w:rPr>
                  </w:r>
                  <w:r>
                    <w:rPr>
                      <w:b/>
                      <w:bCs/>
                      <w:i/>
                      <w:iCs/>
                      <w:color w:val="000000" w:themeColor="text1"/>
                      <w:sz w:val="22"/>
                      <w:szCs w:val="22"/>
                      <w:highlight w:val="white"/>
                    </w:rPr>
                    <w:t xml:space="preserve">В </w:t>
                  </w:r>
                  <w:r>
                    <w:rPr>
                      <w:b/>
                      <w:bCs/>
                      <w:i/>
                      <w:iCs/>
                      <w:color w:val="000000" w:themeColor="text1"/>
                      <w:sz w:val="22"/>
                      <w:szCs w:val="22"/>
                      <w:highlight w:val="white"/>
                    </w:rPr>
                    <w:t xml:space="preserve">случае отсутствия треб</w:t>
                  </w:r>
                  <w:r>
                    <w:rPr>
                      <w:b/>
                      <w:bCs/>
                      <w:i/>
                      <w:iCs/>
                      <w:color w:val="000000" w:themeColor="text1"/>
                      <w:sz w:val="22"/>
                      <w:szCs w:val="22"/>
                      <w:highlight w:val="white"/>
                    </w:rPr>
      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  <w:highlight w:val="white"/>
                    </w:rPr>
                    <w:t xml:space="preserve">ПП РФ №1875 от 23.12.2024).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color w:val="000000"/>
                      <w:sz w:val="22"/>
                      <w:szCs w:val="22"/>
                      <w:highlight w:val="none"/>
                    </w:rPr>
                  </w:r>
                  <w:r>
                    <w:rPr>
                      <w:rFonts w:eastAsia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/>
                      <w:sz w:val="24"/>
                      <w:szCs w:val="24"/>
                    </w:rPr>
                    <w:suppressLineNumbers w:val="0"/>
                  </w:pP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19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3.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831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left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b/>
                      <w:sz w:val="22"/>
                      <w:szCs w:val="22"/>
                      <w:lang w:val="ru-RU" w:eastAsia="ru-RU" w:bidi="ar-SA"/>
                    </w:rPr>
                    <w:t xml:space="preserve">Требования к отдельным обязательствам поставщика по договору: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suppressLineNumbers w:val="0"/>
                  </w:pPr>
                  <w:r>
                    <w:rPr>
                      <w:lang w:val="ru-RU" w:eastAsia="ru-RU" w:bidi="ar-SA"/>
                    </w:rPr>
                  </w:r>
                  <w:r/>
                </w:p>
              </w:tc>
            </w:tr>
            <w:tr>
              <w:tblPrEx/>
              <w:trPr>
                <w:trHeight w:val="30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3.1.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both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Требования к гарантиям, гарантийному и послегарантийному обслуживанию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Гарантийные</w:t>
                  </w:r>
                  <w:r>
                    <w:rPr>
                      <w:spacing w:val="1"/>
                      <w:sz w:val="22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обязательства</w:t>
                  </w:r>
                  <w:r>
                    <w:rPr>
                      <w:spacing w:val="1"/>
                      <w:sz w:val="22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действуют</w:t>
                  </w:r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 с</w:t>
                  </w:r>
                  <w:r>
                    <w:rPr>
                      <w:spacing w:val="1"/>
                      <w:sz w:val="22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даты</w:t>
                  </w:r>
                  <w:r>
                    <w:rPr>
                      <w:spacing w:val="1"/>
                      <w:sz w:val="22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подписания</w:t>
                  </w:r>
                  <w:bookmarkStart w:id="6" w:name="_GoBack"/>
                  <w:r>
                    <w:rPr>
                      <w:sz w:val="22"/>
                      <w:szCs w:val="22"/>
                    </w:rPr>
                  </w:r>
                  <w:bookmarkEnd w:id="6"/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 УПД сроком не менее указанного в Приложении №1 к Техническим требованиям на закупку для каждой единицы номенклатуры.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881"/>
                    <w:ind w:left="0" w:right="0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en-US" w:bidi="ar-SA"/>
                    </w:rPr>
                    <w:t xml:space="preserve">Транспортные расходы, связанные с исполнением гарантийных обязательств, возлагаются</w:t>
                  </w:r>
                  <w:r>
                    <w:rPr>
                      <w:spacing w:val="1"/>
                      <w:sz w:val="22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sz w:val="22"/>
                      <w:szCs w:val="22"/>
                      <w:lang w:val="ru-RU" w:eastAsia="en-US" w:bidi="ar-SA"/>
                    </w:rPr>
                    <w:t xml:space="preserve">на</w:t>
                  </w:r>
                  <w:r>
                    <w:rPr>
                      <w:spacing w:val="-14"/>
                      <w:sz w:val="22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sz w:val="22"/>
                      <w:szCs w:val="22"/>
                      <w:lang w:val="ru-RU" w:eastAsia="en-US" w:bidi="ar-SA"/>
                    </w:rPr>
                    <w:t xml:space="preserve">Поставщика</w:t>
                  </w:r>
                  <w:r>
                    <w:rPr>
                      <w:spacing w:val="-1"/>
                      <w:sz w:val="22"/>
                      <w:szCs w:val="22"/>
                      <w:lang w:val="ru-RU" w:eastAsia="en-US" w:bidi="ar-SA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Cs w:val="0"/>
                      <w:i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</w:p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Cs w:val="0"/>
                      <w:i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en-US" w:eastAsia="ru-RU" w:bidi="ar-SA"/>
                    </w:rPr>
                    <w:t xml:space="preserve">-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suppressLineNumbers w:val="0"/>
                  </w:pPr>
                  <w:r>
                    <w:rPr>
                      <w:lang w:val="ru-RU" w:eastAsia="ru-RU" w:bidi="ar-SA"/>
                    </w:rPr>
                  </w:r>
                  <w:r/>
                </w:p>
              </w:tc>
            </w:tr>
            <w:tr>
              <w:tblPrEx/>
              <w:trPr>
                <w:trHeight w:val="699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3.2.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both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Требования к документам, передаваемым вместе с оборудованием (на этапе исполнения договора)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  <w:lang w:val="ru-RU" w:eastAsia="en-US" w:bidi="ar-SA"/>
                    </w:rPr>
                    <w:t xml:space="preserve">в соответствии с п. 3.3 Проекта договора (Приложение №2 к Документации о закупке)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Cs w:val="0"/>
                      <w:i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-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suppressLineNumbers w:val="0"/>
                  </w:pPr>
                  <w:r>
                    <w:rPr>
                      <w:lang w:val="ru-RU" w:eastAsia="ru-RU" w:bidi="ar-SA"/>
                    </w:rPr>
                  </w:r>
                  <w:r/>
                </w:p>
              </w:tc>
            </w:tr>
            <w:tr>
              <w:tblPrEx/>
              <w:trPr>
                <w:trHeight w:val="355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3.3.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987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both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ru-RU" w:eastAsia="ru-RU" w:bidi="ar-SA"/>
                    </w:rPr>
                    <w:t xml:space="preserve">Требования к доставке,  маркировке, упаковке, транспортировке, перемещению, условиям хранения, приемке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3844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 w:firstLine="0"/>
                    <w:jc w:val="both"/>
                    <w:spacing w:before="0" w:beforeAutospacing="0" w:after="0" w:afterAutospacing="0" w:line="240" w:lineRule="auto"/>
                    <w:widowControl w:val="off"/>
                    <w:rPr>
                      <w:color w:val="000000"/>
                      <w:sz w:val="22"/>
                      <w:szCs w:val="22"/>
                      <w:highlight w:val="white"/>
                    </w:rPr>
                    <w:suppressLineNumbers w:val="0"/>
                  </w:pPr>
                  <w:r>
                    <w:rPr>
                      <w:sz w:val="22"/>
                      <w:szCs w:val="22"/>
                      <w:highlight w:val="white"/>
                      <w:lang w:val="ru-RU" w:eastAsia="en-US" w:bidi="ar-SA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sz w:val="22"/>
                      <w:szCs w:val="22"/>
                      <w:highlight w:val="white"/>
                      <w:lang w:val="ru-RU" w:eastAsia="en-US" w:bidi="ar-SA"/>
                    </w:rPr>
                    <w:t xml:space="preserve">3 Проекта договора (Приложение №2 к Документации о закупке)</w:t>
                  </w:r>
                  <w:r>
                    <w:rPr>
                      <w:color w:val="000000"/>
                      <w:sz w:val="22"/>
                      <w:szCs w:val="22"/>
                      <w:highlight w:val="white"/>
                    </w:rPr>
                  </w:r>
                  <w:r>
                    <w:rPr>
                      <w:color w:val="000000"/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690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bCs w:val="0"/>
                      <w:i w:val="0"/>
                      <w:sz w:val="22"/>
                      <w:szCs w:val="22"/>
                    </w:rPr>
                    <w:suppressLineNumbers w:val="0"/>
                  </w:pPr>
                  <w:r>
                    <w:rPr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i w:val="0"/>
                      <w:iCs w:val="0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4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rPr>
                      <w:sz w:val="22"/>
                      <w:szCs w:val="22"/>
                    </w:rPr>
                    <w:suppressLineNumbers w:val="0"/>
                  </w:pPr>
                  <w:r>
                    <w:rPr>
                      <w:sz w:val="22"/>
                      <w:szCs w:val="22"/>
                      <w:lang w:val="en-US" w:eastAsia="ru-RU" w:bidi="ar-SA"/>
                    </w:rPr>
                    <w:t xml:space="preserve">-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5" w:type="dxa"/>
                  <w:vAlign w:val="center"/>
                  <w:textDirection w:val="lrTb"/>
                  <w:noWrap w:val="false"/>
                </w:tcPr>
                <w:p>
                  <w:pPr>
                    <w:pStyle w:val="881"/>
                    <w:ind w:left="0" w:right="0"/>
                    <w:jc w:val="center"/>
                    <w:spacing w:before="0" w:beforeAutospacing="0" w:after="0" w:afterAutospacing="0" w:line="240" w:lineRule="auto"/>
                    <w:widowControl/>
                    <w:suppressLineNumbers w:val="0"/>
                  </w:pPr>
                  <w:r>
                    <w:rPr>
                      <w:lang w:val="ru-RU" w:eastAsia="ru-RU" w:bidi="ar-SA"/>
                    </w:rPr>
                  </w:r>
                  <w:r/>
                </w:p>
              </w:tc>
            </w:tr>
          </w:tbl>
          <w:p>
            <w:pPr>
              <w:pStyle w:val="881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</w:tbl>
    <w:p>
      <w:pPr>
        <w:pStyle w:val="881"/>
        <w:rPr>
          <w:b/>
          <w:bCs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737" w:right="1134" w:bottom="1276" w:left="1275" w:header="709" w:footer="709" w:gutter="0"/>
          <w:cols w:num="1" w:sep="0" w:space="1701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jc w:val="center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3.    Требования к документации по ценообразованию на этапе закупки</w:t>
      </w:r>
      <w:r>
        <w:rPr>
          <w:lang w:val="ru-RU" w:eastAsia="ru-RU" w:bidi="ar-SA"/>
        </w:rPr>
      </w:r>
      <w:r>
        <w:rPr>
          <w:lang w:val="ru-RU" w:eastAsia="ru-RU" w:bidi="ar-SA"/>
        </w:rPr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jc w:val="left"/>
        <w:spacing w:before="0" w:after="0"/>
        <w:widowControl/>
        <w:rPr>
          <w:lang w:val="ru-RU" w:eastAsia="ru-RU" w:bidi="ar-SA"/>
        </w:rPr>
      </w:pP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highlight w:val="none"/>
          <w:u w:val="none"/>
          <w:vertAlign w:val="baseline"/>
          <w:lang w:val="ru-RU" w:eastAsia="ru-RU" w:bidi="ar-SA"/>
        </w:rPr>
      </w: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highlight w:val="none"/>
          <w:u w:val="none"/>
          <w:vertAlign w:val="baseline"/>
          <w:lang w:val="ru-RU" w:eastAsia="ru-RU" w:bidi="ar-SA"/>
        </w:rPr>
      </w:r>
    </w:p>
    <w:p>
      <w:pPr>
        <w:pStyle w:val="881"/>
        <w:ind w:left="0" w:right="0" w:firstLine="567"/>
        <w:jc w:val="left"/>
        <w:spacing w:before="0" w:after="0"/>
        <w:widowControl/>
        <w:rPr>
          <w:rFonts w:eastAsia="Times New Roman" w:cs="Times New Roman"/>
          <w:b w:val="0"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  <w:lang w:val="ru-RU" w:eastAsia="ru-RU" w:bidi="ar-SA"/>
        </w:rPr>
      </w:pP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Отсутствуют</w:t>
      </w:r>
      <w:r>
        <w:rPr>
          <w:lang w:val="ru-RU" w:eastAsia="ru-RU" w:bidi="ar-SA"/>
        </w:rPr>
      </w:r>
      <w:r>
        <w:rPr>
          <w:lang w:val="ru-RU" w:eastAsia="ru-RU" w:bidi="ar-SA"/>
        </w:rPr>
      </w:r>
      <w:r>
        <w:rPr>
          <w:lang w:val="ru-RU" w:eastAsia="ru-RU" w:bidi="ar-SA"/>
        </w:rPr>
      </w:r>
    </w:p>
    <w:p>
      <w:pPr>
        <w:rPr>
          <w:b/>
          <w:bCs/>
          <w:i/>
          <w:sz w:val="24"/>
          <w:szCs w:val="24"/>
        </w:rPr>
      </w:pP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highlight w:val="none"/>
          <w:u w:val="none"/>
          <w:vertAlign w:val="baseline"/>
          <w:lang w:val="ru-RU" w:eastAsia="ru-RU" w:bidi="ar-SA"/>
        </w:rPr>
      </w: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highlight w:val="none"/>
          <w:u w:val="none"/>
          <w:vertAlign w:val="baseline"/>
          <w:lang w:val="ru-RU" w:eastAsia="ru-RU" w:bidi="ar-SA"/>
        </w:rPr>
      </w:r>
    </w:p>
    <w:p>
      <w:pPr>
        <w:jc w:val="center"/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  <w:lang w:val="ru-RU" w:eastAsia="ru-RU" w:bidi="ar-SA"/>
        </w:rPr>
      </w:pPr>
      <w:r>
        <w:rPr>
          <w:b/>
          <w:bCs/>
          <w:i/>
          <w:sz w:val="24"/>
          <w:szCs w:val="24"/>
        </w:rPr>
      </w: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4.    Требования к документации по ценообразованию на этапе заключения (исполнения) договора</w:t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ind w:left="0" w:right="0" w:firstLine="567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Отсутствуют</w:t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jc w:val="left"/>
        <w:spacing w:before="0" w:after="0"/>
        <w:widowControl/>
        <w:rPr>
          <w:highlight w:val="none"/>
          <w:lang w:val="ru-RU" w:eastAsia="ru-RU" w:bidi="ar-SA"/>
        </w:rPr>
      </w:pP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highlight w:val="none"/>
          <w:u w:val="none"/>
          <w:vertAlign w:val="baseline"/>
          <w:lang w:val="ru-RU" w:eastAsia="ru-RU" w:bidi="ar-SA"/>
        </w:rPr>
      </w: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highlight w:val="none"/>
          <w:u w:val="none"/>
          <w:vertAlign w:val="baseline"/>
          <w:lang w:val="ru-RU" w:eastAsia="ru-RU" w:bidi="ar-SA"/>
        </w:rPr>
      </w:r>
    </w:p>
    <w:p>
      <w:pPr>
        <w:pStyle w:val="881"/>
        <w:jc w:val="center"/>
        <w:spacing w:before="0" w:after="0"/>
        <w:widowControl/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  <w:lang w:val="ru-RU" w:eastAsia="ru-RU" w:bidi="ar-SA"/>
        </w:rPr>
      </w:pP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5.    Приложения</w:t>
      </w:r>
      <w:r>
        <w:rPr>
          <w:lang w:val="ru-RU" w:eastAsia="ru-RU" w:bidi="ar-SA"/>
        </w:rPr>
      </w:r>
      <w:r>
        <w:rPr>
          <w:lang w:val="ru-RU" w:eastAsia="ru-RU" w:bidi="ar-SA"/>
        </w:rPr>
      </w:r>
      <w:r>
        <w:rPr>
          <w:lang w:val="ru-RU" w:eastAsia="ru-RU" w:bidi="ar-SA"/>
        </w:rPr>
      </w:r>
    </w:p>
    <w:p>
      <w:pPr>
        <w:pStyle w:val="881"/>
        <w:numPr>
          <w:ilvl w:val="0"/>
          <w:numId w:val="19"/>
        </w:numPr>
        <w:jc w:val="both"/>
        <w:spacing w:before="0" w:after="0"/>
        <w:widowControl/>
        <w:rPr>
          <w:rFonts w:eastAsia="Times New Roman" w:cs="Times New Roman"/>
          <w:b w:val="0"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pP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Т</w:t>
      </w: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е</w:t>
      </w: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  <w:t xml:space="preserve">хнические, функциональные характеристики (потребительские свойства), количественные, качественные характеристики продукции</w:t>
      </w:r>
      <w:r>
        <w:rPr>
          <w:i w:val="0"/>
          <w:iCs w:val="0"/>
          <w:lang w:val="ru-RU" w:eastAsia="ru-RU" w:bidi="ar-SA"/>
        </w:rPr>
      </w:r>
    </w:p>
    <w:p>
      <w:pPr>
        <w:numPr>
          <w:ilvl w:val="0"/>
          <w:numId w:val="19"/>
        </w:numPr>
        <w:jc w:val="left"/>
        <w:spacing w:before="0" w:after="0"/>
        <w:widowControl/>
        <w:rPr>
          <w:bCs w:val="0"/>
          <w:i w:val="0"/>
        </w:rPr>
      </w:pPr>
      <w:r>
        <w:rPr>
          <w:rFonts w:eastAsia="Times New Roman" w:cs="Times New Roman"/>
          <w:b w:val="0"/>
          <w:i w:val="0"/>
          <w:iCs w:val="0"/>
          <w:strike w:val="0"/>
          <w:color w:val="000000"/>
          <w:position w:val="0"/>
          <w:sz w:val="24"/>
          <w:u w:val="none"/>
          <w:vertAlign w:val="baseline"/>
          <w:lang w:val="ru-RU" w:eastAsia="ru-RU" w:bidi="ar-SA"/>
        </w:rPr>
      </w:r>
      <w:r>
        <w:rPr>
          <w:b w:val="0"/>
          <w:bCs w:val="0"/>
          <w:i w:val="0"/>
          <w:iCs w:val="0"/>
          <w:sz w:val="24"/>
          <w:szCs w:val="24"/>
          <w:shd w:val="clear" w:color="auto" w:fill="ffffff"/>
          <w:lang w:val="ru-RU" w:eastAsia="ru-RU" w:bidi="ar-SA"/>
        </w:rPr>
        <w:t xml:space="preserve">Реквизиты грузополучателей</w:t>
      </w:r>
      <w:r>
        <w:rPr>
          <w:i w:val="0"/>
          <w:iCs w:val="0"/>
          <w:lang w:val="ru-RU" w:eastAsia="ru-RU" w:bidi="ar-SA"/>
        </w:rPr>
      </w:r>
      <w:r>
        <w:rPr>
          <w:i w:val="0"/>
          <w:iCs w:val="0"/>
        </w:rPr>
      </w:r>
    </w:p>
    <w:p>
      <w:pPr>
        <w:pStyle w:val="881"/>
        <w:rPr>
          <w:b/>
          <w:i w:val="0"/>
          <w:iCs w:val="0"/>
          <w:sz w:val="24"/>
          <w:szCs w:val="24"/>
        </w:rPr>
      </w:pPr>
      <w:r>
        <w:rPr>
          <w:b/>
          <w:i w:val="0"/>
          <w:iCs w:val="0"/>
          <w:sz w:val="24"/>
          <w:szCs w:val="24"/>
        </w:rPr>
      </w:r>
      <w:r>
        <w:rPr>
          <w:b/>
          <w:i w:val="0"/>
          <w:iCs w:val="0"/>
          <w:sz w:val="24"/>
          <w:szCs w:val="24"/>
        </w:rPr>
      </w:r>
      <w:r>
        <w:rPr>
          <w:b/>
          <w:i w:val="0"/>
          <w:iCs w:val="0"/>
          <w:sz w:val="24"/>
          <w:szCs w:val="24"/>
        </w:rPr>
      </w:r>
    </w:p>
    <w:p>
      <w:pPr>
        <w:ind w:right="0"/>
        <w:jc w:val="both"/>
        <w:spacing w:before="0" w:beforeAutospacing="0" w:after="0" w:afterAutospacing="0"/>
        <w:rPr>
          <w:sz w:val="10"/>
          <w:szCs w:val="10"/>
          <w:highlight w:val="none"/>
        </w:rPr>
      </w:pPr>
      <w:r>
        <w:rPr>
          <w:sz w:val="10"/>
          <w:szCs w:val="10"/>
          <w:highlight w:val="none"/>
        </w:rPr>
      </w:r>
      <w:r>
        <w:rPr>
          <w:sz w:val="10"/>
          <w:szCs w:val="10"/>
          <w:highlight w:val="none"/>
        </w:rPr>
      </w:r>
      <w:r>
        <w:rPr>
          <w:sz w:val="10"/>
          <w:szCs w:val="10"/>
          <w:highlight w:val="none"/>
        </w:rPr>
      </w:r>
    </w:p>
    <w:sectPr>
      <w:footnotePr/>
      <w:endnotePr/>
      <w:type w:val="nextPage"/>
      <w:pgSz w:w="11906" w:h="16838" w:orient="portrait"/>
      <w:pgMar w:top="1134" w:right="1276" w:bottom="1275" w:left="737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Batang">
    <w:panose1 w:val="02000603000000000000"/>
  </w:font>
  <w:font w:name="Liberation Sans">
    <w:panose1 w:val="020B0604020202020204"/>
  </w:font>
  <w:font w:name="Wingdings">
    <w:panose1 w:val="05010000000000000000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72"/>
                            <w:rPr>
                              <w:rStyle w:val="91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914"/>
                            </w:rPr>
                            <w:fldChar w:fldCharType="begin"/>
                          </w:r>
                          <w:r>
                            <w:rPr>
                              <w:rStyle w:val="914"/>
                            </w:rPr>
                            <w:instrText xml:space="preserve"> PAGE </w:instrText>
                          </w:r>
                          <w:r>
                            <w:rPr>
                              <w:rStyle w:val="914"/>
                            </w:rPr>
                            <w:fldChar w:fldCharType="separate"/>
                          </w:r>
                          <w:r>
                            <w:rPr>
                              <w:rStyle w:val="914"/>
                            </w:rPr>
                            <w:t xml:space="preserve">0</w:t>
                          </w:r>
                          <w:r>
                            <w:rPr>
                              <w:rStyle w:val="914"/>
                            </w:rPr>
                            <w:fldChar w:fldCharType="end"/>
                          </w:r>
                          <w:r>
                            <w:rPr>
                              <w:rStyle w:val="914"/>
                            </w:rPr>
                          </w:r>
                          <w:r>
                            <w:rPr>
                              <w:rStyle w:val="914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72"/>
                      <w:rPr>
                        <w:rStyle w:val="91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914"/>
                      </w:rPr>
                      <w:fldChar w:fldCharType="begin"/>
                    </w:r>
                    <w:r>
                      <w:rPr>
                        <w:rStyle w:val="914"/>
                      </w:rPr>
                      <w:instrText xml:space="preserve"> PAGE </w:instrText>
                    </w:r>
                    <w:r>
                      <w:rPr>
                        <w:rStyle w:val="914"/>
                      </w:rPr>
                      <w:fldChar w:fldCharType="separate"/>
                    </w:r>
                    <w:r>
                      <w:rPr>
                        <w:rStyle w:val="914"/>
                      </w:rPr>
                      <w:t xml:space="preserve">0</w:t>
                    </w:r>
                    <w:r>
                      <w:rPr>
                        <w:rStyle w:val="914"/>
                      </w:rPr>
                      <w:fldChar w:fldCharType="end"/>
                    </w:r>
                    <w:r>
                      <w:rPr>
                        <w:rStyle w:val="914"/>
                      </w:rPr>
                    </w:r>
                    <w:r>
                      <w:rPr>
                        <w:rStyle w:val="914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65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1006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0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0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84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16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17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20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18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1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23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65" w:hanging="360"/>
      </w:pPr>
      <w:rPr>
        <w:sz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25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1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882">
    <w:name w:val="Heading 1"/>
    <w:basedOn w:val="884"/>
    <w:qFormat/>
    <w:pPr>
      <w:numPr>
        <w:ilvl w:val="0"/>
      </w:numPr>
      <w:outlineLvl w:val="0"/>
    </w:pPr>
    <w:rPr>
      <w:sz w:val="28"/>
      <w:szCs w:val="28"/>
    </w:rPr>
  </w:style>
  <w:style w:type="paragraph" w:styleId="883">
    <w:name w:val="Heading 2"/>
    <w:basedOn w:val="885"/>
    <w:qFormat/>
    <w:pPr>
      <w:outlineLvl w:val="1"/>
    </w:pPr>
  </w:style>
  <w:style w:type="paragraph" w:styleId="884">
    <w:name w:val="Heading 3"/>
    <w:basedOn w:val="881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5">
    <w:name w:val="Heading 4"/>
    <w:basedOn w:val="884"/>
    <w:qFormat/>
    <w:pPr>
      <w:numPr>
        <w:ilvl w:val="1"/>
      </w:numPr>
      <w:outlineLvl w:val="3"/>
    </w:pPr>
    <w:rPr>
      <w:bCs/>
    </w:rPr>
  </w:style>
  <w:style w:type="paragraph" w:styleId="886">
    <w:name w:val="Heading 5"/>
    <w:basedOn w:val="881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7">
    <w:name w:val="Heading 6"/>
    <w:basedOn w:val="881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8">
    <w:name w:val="Heading 7"/>
    <w:basedOn w:val="881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9">
    <w:name w:val="Heading 8"/>
    <w:basedOn w:val="881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90">
    <w:name w:val="Heading 9"/>
    <w:basedOn w:val="881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1" w:default="1">
    <w:name w:val="Default Paragraph Font"/>
    <w:uiPriority w:val="1"/>
    <w:semiHidden/>
    <w:unhideWhenUsed/>
    <w:qFormat/>
  </w:style>
  <w:style w:type="character" w:styleId="892" w:customStyle="1">
    <w:name w:val="Title Char"/>
    <w:basedOn w:val="891"/>
    <w:uiPriority w:val="10"/>
    <w:qFormat/>
    <w:rPr>
      <w:sz w:val="48"/>
      <w:szCs w:val="48"/>
    </w:rPr>
  </w:style>
  <w:style w:type="character" w:styleId="893" w:customStyle="1">
    <w:name w:val="Caption Char"/>
    <w:uiPriority w:val="99"/>
    <w:qFormat/>
  </w:style>
  <w:style w:type="character" w:styleId="894" w:customStyle="1">
    <w:name w:val="Heading 1 Char"/>
    <w:basedOn w:val="891"/>
    <w:uiPriority w:val="9"/>
    <w:qFormat/>
    <w:rPr>
      <w:rFonts w:ascii="Arial" w:hAnsi="Arial" w:eastAsia="Arial" w:cs="Arial"/>
      <w:sz w:val="40"/>
      <w:szCs w:val="40"/>
    </w:rPr>
  </w:style>
  <w:style w:type="character" w:styleId="895" w:customStyle="1">
    <w:name w:val="Heading 2 Char"/>
    <w:basedOn w:val="891"/>
    <w:uiPriority w:val="9"/>
    <w:qFormat/>
    <w:rPr>
      <w:rFonts w:ascii="Arial" w:hAnsi="Arial" w:eastAsia="Arial" w:cs="Arial"/>
      <w:sz w:val="34"/>
    </w:rPr>
  </w:style>
  <w:style w:type="character" w:styleId="896" w:customStyle="1">
    <w:name w:val="Heading 3 Char"/>
    <w:basedOn w:val="891"/>
    <w:uiPriority w:val="9"/>
    <w:qFormat/>
    <w:rPr>
      <w:rFonts w:ascii="Arial" w:hAnsi="Arial" w:eastAsia="Arial" w:cs="Arial"/>
      <w:sz w:val="30"/>
      <w:szCs w:val="30"/>
    </w:rPr>
  </w:style>
  <w:style w:type="character" w:styleId="897" w:customStyle="1">
    <w:name w:val="Heading 4 Char"/>
    <w:basedOn w:val="89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98" w:customStyle="1">
    <w:name w:val="Heading 5 Char"/>
    <w:basedOn w:val="89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99" w:customStyle="1">
    <w:name w:val="Heading 6 Char"/>
    <w:basedOn w:val="89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0" w:customStyle="1">
    <w:name w:val="Heading 7 Char"/>
    <w:basedOn w:val="89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1" w:customStyle="1">
    <w:name w:val="Heading 8 Char"/>
    <w:basedOn w:val="89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02" w:customStyle="1">
    <w:name w:val="Heading 9 Char"/>
    <w:basedOn w:val="89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03" w:customStyle="1">
    <w:name w:val="Заголовок Знак"/>
    <w:basedOn w:val="891"/>
    <w:uiPriority w:val="10"/>
    <w:qFormat/>
    <w:rPr>
      <w:sz w:val="48"/>
      <w:szCs w:val="48"/>
    </w:rPr>
  </w:style>
  <w:style w:type="character" w:styleId="904" w:customStyle="1">
    <w:name w:val="Subtitle Char"/>
    <w:basedOn w:val="891"/>
    <w:uiPriority w:val="11"/>
    <w:qFormat/>
    <w:rPr>
      <w:sz w:val="24"/>
      <w:szCs w:val="24"/>
    </w:rPr>
  </w:style>
  <w:style w:type="character" w:styleId="905" w:customStyle="1">
    <w:name w:val="Quote Char"/>
    <w:uiPriority w:val="29"/>
    <w:qFormat/>
    <w:rPr>
      <w:i/>
    </w:rPr>
  </w:style>
  <w:style w:type="character" w:styleId="906" w:customStyle="1">
    <w:name w:val="Intense Quote Char"/>
    <w:uiPriority w:val="30"/>
    <w:qFormat/>
    <w:rPr>
      <w:i/>
    </w:rPr>
  </w:style>
  <w:style w:type="character" w:styleId="907" w:customStyle="1">
    <w:name w:val="Header Char"/>
    <w:basedOn w:val="891"/>
    <w:uiPriority w:val="99"/>
    <w:qFormat/>
  </w:style>
  <w:style w:type="character" w:styleId="908" w:customStyle="1">
    <w:name w:val="Footer Char"/>
    <w:basedOn w:val="891"/>
    <w:uiPriority w:val="99"/>
    <w:qFormat/>
  </w:style>
  <w:style w:type="character" w:styleId="909" w:customStyle="1">
    <w:name w:val="Нижний колонтитул Знак"/>
    <w:uiPriority w:val="99"/>
    <w:qFormat/>
  </w:style>
  <w:style w:type="character" w:styleId="910" w:customStyle="1">
    <w:name w:val="Footnote Text Char"/>
    <w:uiPriority w:val="99"/>
    <w:qFormat/>
    <w:rPr>
      <w:sz w:val="18"/>
    </w:rPr>
  </w:style>
  <w:style w:type="character" w:styleId="911" w:customStyle="1">
    <w:name w:val="Endnote Text Char"/>
    <w:uiPriority w:val="99"/>
    <w:qFormat/>
    <w:rPr>
      <w:sz w:val="20"/>
    </w:rPr>
  </w:style>
  <w:style w:type="character" w:styleId="912">
    <w:name w:val="Символ сноски"/>
    <w:qFormat/>
    <w:rPr>
      <w:vertAlign w:val="superscript"/>
    </w:rPr>
  </w:style>
  <w:style w:type="character" w:styleId="913">
    <w:name w:val="footnote reference"/>
    <w:rPr>
      <w:vertAlign w:val="superscript"/>
    </w:rPr>
  </w:style>
  <w:style w:type="character" w:styleId="914">
    <w:name w:val="page number"/>
    <w:basedOn w:val="891"/>
    <w:qFormat/>
  </w:style>
  <w:style w:type="character" w:styleId="915">
    <w:name w:val="Hyperlink"/>
    <w:uiPriority w:val="99"/>
    <w:rPr>
      <w:color w:val="0000ff"/>
      <w:u w:val="single"/>
    </w:rPr>
  </w:style>
  <w:style w:type="character" w:styleId="916">
    <w:name w:val="annotation reference"/>
    <w:uiPriority w:val="99"/>
    <w:semiHidden/>
    <w:qFormat/>
    <w:rPr>
      <w:sz w:val="16"/>
      <w:szCs w:val="16"/>
    </w:rPr>
  </w:style>
  <w:style w:type="character" w:styleId="917">
    <w:name w:val="Strong"/>
    <w:qFormat/>
    <w:rPr>
      <w:b/>
      <w:bCs/>
    </w:rPr>
  </w:style>
  <w:style w:type="character" w:styleId="918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19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20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21" w:customStyle="1">
    <w:name w:val="Заголовок 1 Знак"/>
    <w:qFormat/>
    <w:rPr>
      <w:rFonts w:eastAsia="Calibri"/>
      <w:b/>
      <w:sz w:val="28"/>
      <w:szCs w:val="28"/>
    </w:rPr>
  </w:style>
  <w:style w:type="character" w:styleId="92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23" w:customStyle="1">
    <w:name w:val="Заголовок 3 Знак"/>
    <w:qFormat/>
    <w:rPr>
      <w:rFonts w:eastAsia="Calibri"/>
      <w:b/>
      <w:sz w:val="24"/>
      <w:szCs w:val="24"/>
    </w:rPr>
  </w:style>
  <w:style w:type="character" w:styleId="92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2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26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27" w:customStyle="1">
    <w:name w:val="Название Знак"/>
    <w:uiPriority w:val="10"/>
    <w:qFormat/>
    <w:rPr>
      <w:sz w:val="28"/>
    </w:rPr>
  </w:style>
  <w:style w:type="character" w:styleId="928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29">
    <w:name w:val="Emphasis"/>
    <w:uiPriority w:val="20"/>
    <w:qFormat/>
    <w:rPr>
      <w:i/>
      <w:iCs/>
    </w:rPr>
  </w:style>
  <w:style w:type="character" w:styleId="930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31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32">
    <w:name w:val="Subtle Emphasis"/>
    <w:uiPriority w:val="19"/>
    <w:qFormat/>
    <w:rPr>
      <w:i/>
      <w:iCs/>
      <w:color w:val="808080"/>
    </w:rPr>
  </w:style>
  <w:style w:type="character" w:styleId="933">
    <w:name w:val="Intense Emphasis"/>
    <w:uiPriority w:val="21"/>
    <w:qFormat/>
    <w:rPr>
      <w:b/>
      <w:bCs/>
      <w:i/>
      <w:iCs/>
      <w:color w:val="4f81bd"/>
    </w:rPr>
  </w:style>
  <w:style w:type="character" w:styleId="934">
    <w:name w:val="Subtle Reference"/>
    <w:uiPriority w:val="31"/>
    <w:qFormat/>
    <w:rPr>
      <w:smallCaps/>
      <w:color w:val="c0504d"/>
      <w:u w:val="single"/>
    </w:rPr>
  </w:style>
  <w:style w:type="character" w:styleId="935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36">
    <w:name w:val="Book Title"/>
    <w:uiPriority w:val="33"/>
    <w:qFormat/>
    <w:rPr>
      <w:b/>
      <w:bCs/>
      <w:smallCaps/>
      <w:spacing w:val="5"/>
    </w:rPr>
  </w:style>
  <w:style w:type="character" w:styleId="937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38" w:customStyle="1">
    <w:name w:val="Подпункт Знак1"/>
    <w:qFormat/>
    <w:rPr>
      <w:sz w:val="28"/>
    </w:rPr>
  </w:style>
  <w:style w:type="character" w:styleId="939" w:customStyle="1">
    <w:name w:val="Текст сноски Знак"/>
    <w:uiPriority w:val="99"/>
    <w:qFormat/>
  </w:style>
  <w:style w:type="character" w:styleId="940" w:customStyle="1">
    <w:name w:val="Основной текст Знак"/>
    <w:qFormat/>
    <w:rPr>
      <w:sz w:val="28"/>
      <w:szCs w:val="28"/>
    </w:rPr>
  </w:style>
  <w:style w:type="character" w:styleId="941" w:customStyle="1">
    <w:name w:val="blk"/>
    <w:qFormat/>
  </w:style>
  <w:style w:type="character" w:styleId="942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43" w:customStyle="1">
    <w:name w:val="комментарий"/>
    <w:qFormat/>
    <w:rPr>
      <w:b/>
      <w:i/>
      <w:shd w:val="clear" w:color="auto" w:fill="ffff99"/>
    </w:rPr>
  </w:style>
  <w:style w:type="character" w:styleId="944" w:customStyle="1">
    <w:name w:val="Подподпункт Знак"/>
    <w:qFormat/>
    <w:rPr>
      <w:sz w:val="26"/>
      <w:szCs w:val="26"/>
    </w:rPr>
  </w:style>
  <w:style w:type="character" w:styleId="945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46" w:customStyle="1">
    <w:name w:val="Верхний колонтитул Знак"/>
    <w:uiPriority w:val="99"/>
    <w:qFormat/>
    <w:rPr>
      <w:sz w:val="24"/>
      <w:szCs w:val="24"/>
    </w:rPr>
  </w:style>
  <w:style w:type="character" w:styleId="947" w:customStyle="1">
    <w:name w:val="Текст примечания Знак"/>
    <w:semiHidden/>
    <w:qFormat/>
  </w:style>
  <w:style w:type="character" w:styleId="948" w:customStyle="1">
    <w:name w:val="Текст концевой сноски Знак"/>
    <w:basedOn w:val="891"/>
    <w:qFormat/>
  </w:style>
  <w:style w:type="character" w:styleId="949">
    <w:name w:val="Символ концевой сноски"/>
    <w:basedOn w:val="891"/>
    <w:qFormat/>
    <w:rPr>
      <w:vertAlign w:val="superscript"/>
    </w:rPr>
  </w:style>
  <w:style w:type="character" w:styleId="950">
    <w:name w:val="endnote reference"/>
    <w:rPr>
      <w:vertAlign w:val="superscript"/>
    </w:rPr>
  </w:style>
  <w:style w:type="character" w:styleId="951" w:customStyle="1">
    <w:name w:val="Пункт2 Знак"/>
    <w:qFormat/>
    <w:rPr>
      <w:b/>
      <w:sz w:val="28"/>
    </w:rPr>
  </w:style>
  <w:style w:type="character" w:styleId="95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53" w:customStyle="1">
    <w:name w:val="Неразрешенное упоминание1"/>
    <w:basedOn w:val="891"/>
    <w:uiPriority w:val="99"/>
    <w:semiHidden/>
    <w:unhideWhenUsed/>
    <w:qFormat/>
    <w:rPr>
      <w:color w:val="605e5c"/>
      <w:shd w:val="clear" w:color="auto" w:fill="e1dfdd"/>
    </w:rPr>
  </w:style>
  <w:style w:type="character" w:styleId="954" w:customStyle="1">
    <w:name w:val="Основной текст с отступом 3 Знак"/>
    <w:qFormat/>
    <w:rPr>
      <w:sz w:val="16"/>
      <w:szCs w:val="16"/>
    </w:rPr>
  </w:style>
  <w:style w:type="character" w:styleId="955" w:customStyle="1">
    <w:name w:val="ConsNormal Знак"/>
    <w:qFormat/>
    <w:rPr>
      <w:rFonts w:ascii="Arial" w:hAnsi="Arial" w:cs="Arial"/>
      <w:sz w:val="24"/>
      <w:szCs w:val="24"/>
    </w:rPr>
  </w:style>
  <w:style w:type="paragraph" w:styleId="956">
    <w:name w:val="Заголовок"/>
    <w:basedOn w:val="881"/>
    <w:next w:val="957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957">
    <w:name w:val="Body Text"/>
    <w:basedOn w:val="881"/>
    <w:pPr>
      <w:spacing w:before="0" w:after="120"/>
    </w:pPr>
  </w:style>
  <w:style w:type="paragraph" w:styleId="958">
    <w:name w:val="List"/>
    <w:basedOn w:val="957"/>
    <w:rPr>
      <w:rFonts w:cs="Arial Unicode MS"/>
    </w:rPr>
  </w:style>
  <w:style w:type="paragraph" w:styleId="959">
    <w:name w:val="Caption"/>
    <w:basedOn w:val="881"/>
    <w:link w:val="89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60">
    <w:name w:val="Указатель"/>
    <w:basedOn w:val="881"/>
    <w:qFormat/>
    <w:pPr>
      <w:suppressLineNumbers/>
    </w:pPr>
    <w:rPr>
      <w:rFonts w:cs="Arial Unicode MS"/>
    </w:rPr>
  </w:style>
  <w:style w:type="paragraph" w:styleId="961">
    <w:name w:val="Title"/>
    <w:basedOn w:val="88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62">
    <w:name w:val="table of figures"/>
    <w:basedOn w:val="881"/>
    <w:uiPriority w:val="99"/>
    <w:unhideWhenUsed/>
    <w:qFormat/>
  </w:style>
  <w:style w:type="paragraph" w:styleId="963" w:customStyle="1">
    <w:name w:val="Название раздела инструкции"/>
    <w:basedOn w:val="881"/>
    <w:qFormat/>
    <w:pPr>
      <w:jc w:val="center"/>
    </w:pPr>
    <w:rPr>
      <w:b/>
    </w:rPr>
  </w:style>
  <w:style w:type="paragraph" w:styleId="964" w:customStyle="1">
    <w:name w:val="Раздел положения"/>
    <w:basedOn w:val="881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65" w:customStyle="1">
    <w:name w:val="Подраздел раздела положения"/>
    <w:basedOn w:val="881"/>
    <w:qFormat/>
    <w:pPr>
      <w:numPr>
        <w:ilvl w:val="1"/>
        <w:numId w:val="1"/>
      </w:numPr>
      <w:jc w:val="both"/>
      <w:spacing w:before="80" w:after="80"/>
    </w:pPr>
  </w:style>
  <w:style w:type="paragraph" w:styleId="966">
    <w:name w:val="footnote text"/>
    <w:basedOn w:val="881"/>
    <w:uiPriority w:val="99"/>
    <w:rPr>
      <w:sz w:val="20"/>
      <w:szCs w:val="20"/>
    </w:rPr>
  </w:style>
  <w:style w:type="paragraph" w:styleId="967" w:customStyle="1">
    <w:name w:val="Шапка 1"/>
    <w:basedOn w:val="881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68" w:customStyle="1">
    <w:name w:val="Шапка 2"/>
    <w:basedOn w:val="881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69" w:customStyle="1">
    <w:name w:val="Шапка 3"/>
    <w:basedOn w:val="881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0" w:customStyle="1">
    <w:name w:val="Название1"/>
    <w:basedOn w:val="881"/>
    <w:uiPriority w:val="10"/>
    <w:qFormat/>
    <w:pPr>
      <w:jc w:val="center"/>
    </w:pPr>
    <w:rPr>
      <w:sz w:val="20"/>
      <w:szCs w:val="20"/>
    </w:rPr>
  </w:style>
  <w:style w:type="paragraph" w:styleId="971">
    <w:name w:val="Колонтитул"/>
    <w:basedOn w:val="881"/>
    <w:qFormat/>
  </w:style>
  <w:style w:type="paragraph" w:styleId="972">
    <w:name w:val="Header"/>
    <w:basedOn w:val="881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3">
    <w:name w:val="Body Text Indent"/>
    <w:basedOn w:val="881"/>
    <w:pPr>
      <w:ind w:left="360" w:firstLine="0"/>
    </w:pPr>
    <w:rPr>
      <w:sz w:val="24"/>
      <w:szCs w:val="24"/>
    </w:rPr>
  </w:style>
  <w:style w:type="paragraph" w:styleId="974">
    <w:name w:val="Footer"/>
    <w:basedOn w:val="881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75">
    <w:name w:val="Body Text Indent 2"/>
    <w:basedOn w:val="881"/>
    <w:qFormat/>
    <w:pPr>
      <w:ind w:left="283" w:firstLine="0"/>
      <w:spacing w:before="0" w:after="120" w:line="480" w:lineRule="auto"/>
    </w:pPr>
  </w:style>
  <w:style w:type="paragraph" w:styleId="976">
    <w:name w:val="Body Text 3"/>
    <w:basedOn w:val="881"/>
    <w:qFormat/>
    <w:pPr>
      <w:spacing w:before="0" w:after="120"/>
    </w:pPr>
    <w:rPr>
      <w:sz w:val="16"/>
      <w:szCs w:val="16"/>
    </w:rPr>
  </w:style>
  <w:style w:type="paragraph" w:styleId="977">
    <w:name w:val="Body Text Indent 3"/>
    <w:basedOn w:val="881"/>
    <w:qFormat/>
    <w:pPr>
      <w:ind w:left="283" w:firstLine="0"/>
      <w:spacing w:before="0" w:after="120"/>
    </w:pPr>
    <w:rPr>
      <w:sz w:val="16"/>
      <w:szCs w:val="16"/>
    </w:rPr>
  </w:style>
  <w:style w:type="paragraph" w:styleId="978">
    <w:name w:val="Body Text 2"/>
    <w:basedOn w:val="881"/>
    <w:qFormat/>
    <w:pPr>
      <w:spacing w:before="0" w:after="120" w:line="480" w:lineRule="auto"/>
    </w:pPr>
  </w:style>
  <w:style w:type="paragraph" w:styleId="979">
    <w:name w:val="Block Text"/>
    <w:basedOn w:val="881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980" w:customStyle="1">
    <w:name w:val="Подпункт"/>
    <w:basedOn w:val="881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 w:val="20"/>
      <w:szCs w:val="20"/>
    </w:rPr>
  </w:style>
  <w:style w:type="paragraph" w:styleId="981" w:customStyle="1">
    <w:name w:val="Пункт2"/>
    <w:basedOn w:val="881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 w:val="20"/>
      <w:szCs w:val="20"/>
    </w:rPr>
  </w:style>
  <w:style w:type="paragraph" w:styleId="982">
    <w:name w:val="toc 1"/>
    <w:basedOn w:val="881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83">
    <w:name w:val="toc 3"/>
    <w:basedOn w:val="881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984" w:customStyle="1">
    <w:name w:val="Раздел регламента"/>
    <w:basedOn w:val="881"/>
    <w:qFormat/>
  </w:style>
  <w:style w:type="paragraph" w:styleId="985" w:customStyle="1">
    <w:name w:val="Приложение к регламенту"/>
    <w:basedOn w:val="881"/>
    <w:qFormat/>
    <w:pPr>
      <w:jc w:val="right"/>
    </w:pPr>
  </w:style>
  <w:style w:type="paragraph" w:styleId="986">
    <w:name w:val="toc 2"/>
    <w:basedOn w:val="881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87">
    <w:name w:val="Balloon Text"/>
    <w:basedOn w:val="881"/>
    <w:semiHidden/>
    <w:qFormat/>
    <w:rPr>
      <w:rFonts w:ascii="Tahoma" w:hAnsi="Tahoma" w:cs="Tahoma"/>
      <w:sz w:val="16"/>
      <w:szCs w:val="16"/>
    </w:rPr>
  </w:style>
  <w:style w:type="paragraph" w:styleId="988">
    <w:name w:val="annotation text"/>
    <w:basedOn w:val="881"/>
    <w:semiHidden/>
    <w:qFormat/>
    <w:rPr>
      <w:sz w:val="20"/>
      <w:szCs w:val="20"/>
    </w:rPr>
  </w:style>
  <w:style w:type="paragraph" w:styleId="989">
    <w:name w:val="annotation subject"/>
    <w:basedOn w:val="988"/>
    <w:semiHidden/>
    <w:qFormat/>
    <w:rPr>
      <w:b/>
      <w:bCs/>
    </w:rPr>
  </w:style>
  <w:style w:type="paragraph" w:styleId="990" w:customStyle="1">
    <w:name w:val="Обычный (веб)1"/>
    <w:basedOn w:val="881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91">
    <w:name w:val="toc 9"/>
    <w:basedOn w:val="881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2">
    <w:name w:val="toc 5"/>
    <w:basedOn w:val="881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3">
    <w:name w:val="toc 4"/>
    <w:basedOn w:val="881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994" w:customStyle="1">
    <w:name w:val="Раздел положения 2"/>
    <w:basedOn w:val="881"/>
    <w:qFormat/>
    <w:pPr>
      <w:jc w:val="both"/>
      <w:pageBreakBefore/>
      <w:outlineLvl w:val="0"/>
    </w:pPr>
    <w:rPr>
      <w:b/>
    </w:rPr>
  </w:style>
  <w:style w:type="paragraph" w:styleId="995" w:customStyle="1">
    <w:name w:val="Знак Знак Знак Знак Знак Знак Знак Знак Знак"/>
    <w:basedOn w:val="881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6">
    <w:name w:val="No Spacing"/>
    <w:basedOn w:val="88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7">
    <w:name w:val="Subtitle"/>
    <w:basedOn w:val="88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98">
    <w:name w:val="List Paragraph"/>
    <w:basedOn w:val="881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999">
    <w:name w:val="Quote"/>
    <w:basedOn w:val="881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000">
    <w:name w:val="Intense Quote"/>
    <w:basedOn w:val="881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001">
    <w:name w:val="Index Heading"/>
    <w:basedOn w:val="956"/>
  </w:style>
  <w:style w:type="paragraph" w:styleId="1002">
    <w:name w:val="TOC Heading"/>
    <w:basedOn w:val="882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1003">
    <w:name w:val="E-mail Signature"/>
    <w:basedOn w:val="881"/>
    <w:uiPriority w:val="99"/>
    <w:unhideWhenUsed/>
    <w:qFormat/>
    <w:rPr>
      <w:rFonts w:eastAsia="Calibri"/>
      <w:sz w:val="24"/>
      <w:szCs w:val="24"/>
    </w:rPr>
  </w:style>
  <w:style w:type="paragraph" w:styleId="1004" w:customStyle="1">
    <w:name w:val="Знак"/>
    <w:basedOn w:val="881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5" w:customStyle="1">
    <w:name w:val="Нумерованный список ур3"/>
    <w:basedOn w:val="88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06" w:customStyle="1">
    <w:name w:val="List 3"/>
    <w:basedOn w:val="881"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07" w:customStyle="1">
    <w:name w:val="Нумерованный список ур2"/>
    <w:basedOn w:val="881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08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1009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1010" w:customStyle="1">
    <w:name w:val="Знак Знак3 Знак Знак"/>
    <w:basedOn w:val="881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1" w:customStyle="1">
    <w:name w:val="Пункт"/>
    <w:basedOn w:val="881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 w:val="20"/>
      <w:szCs w:val="20"/>
    </w:rPr>
  </w:style>
  <w:style w:type="paragraph" w:styleId="1012" w:customStyle="1">
    <w:name w:val="Абзац списка1"/>
    <w:basedOn w:val="881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13" w:customStyle="1">
    <w:name w:val="Таблица"/>
    <w:basedOn w:val="88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14" w:customStyle="1">
    <w:name w:val="Таблица шапка"/>
    <w:basedOn w:val="881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1015" w:customStyle="1">
    <w:name w:val="Подподпункт"/>
    <w:basedOn w:val="980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016" w:customStyle="1">
    <w:name w:val="УРОВЕНЬ_(а)"/>
    <w:basedOn w:val="998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017" w:customStyle="1">
    <w:name w:val="УРОВЕНЬ_-"/>
    <w:basedOn w:val="998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18" w:customStyle="1">
    <w:name w:val="УРОВЕНЬ_Абзац_тип2"/>
    <w:basedOn w:val="998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19" w:customStyle="1">
    <w:name w:val="УРОВЕНЬ_Абзац_тип3"/>
    <w:basedOn w:val="998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20" w:customStyle="1">
    <w:name w:val="УРОВЕНЬ_Подпись"/>
    <w:basedOn w:val="998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21" w:customStyle="1">
    <w:name w:val="Стиль Заголовок 1 + по ширине"/>
    <w:basedOn w:val="882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1022">
    <w:name w:val="endnote text"/>
    <w:basedOn w:val="881"/>
    <w:rPr>
      <w:sz w:val="20"/>
      <w:szCs w:val="20"/>
    </w:rPr>
  </w:style>
  <w:style w:type="paragraph" w:styleId="1023" w:customStyle="1">
    <w:name w:val="Заголовок 2 КВВ"/>
    <w:basedOn w:val="881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24" w:customStyle="1">
    <w:name w:val="Таблица текст"/>
    <w:basedOn w:val="881"/>
    <w:qFormat/>
    <w:pPr>
      <w:ind w:left="57" w:right="57" w:firstLine="0"/>
      <w:spacing w:before="40" w:after="40"/>
    </w:pPr>
    <w:rPr>
      <w:sz w:val="24"/>
      <w:szCs w:val="26"/>
    </w:rPr>
  </w:style>
  <w:style w:type="paragraph" w:styleId="1025">
    <w:name w:val="Normal (Web)"/>
    <w:basedOn w:val="881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26" w:customStyle="1">
    <w:name w:val="УРОВЕНЬ_1."/>
    <w:basedOn w:val="998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27">
    <w:name w:val="toc 6"/>
    <w:basedOn w:val="881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28">
    <w:name w:val="toc 7"/>
    <w:basedOn w:val="881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29">
    <w:name w:val="toc 8"/>
    <w:basedOn w:val="881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0" w:customStyle="1">
    <w:name w:val="ConsNormal"/>
    <w:qFormat/>
    <w:pPr>
      <w:ind w:firstLine="720"/>
      <w:jc w:val="left"/>
      <w:spacing w:before="0" w:after="0"/>
      <w:widowControl/>
    </w:pPr>
    <w:rPr>
      <w:rFonts w:ascii="Arial" w:hAnsi="Arial" w:eastAsia="Noto Serif CJK SC" w:cs="Arial"/>
      <w:color w:val="auto"/>
      <w:sz w:val="24"/>
      <w:szCs w:val="24"/>
      <w:lang w:val="ru-RU" w:eastAsia="ru-RU" w:bidi="ar-SA"/>
    </w:rPr>
  </w:style>
  <w:style w:type="paragraph" w:styleId="1031" w:customStyle="1">
    <w:name w:val="Main 14"/>
    <w:uiPriority w:val="99"/>
    <w:qFormat/>
    <w:pPr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lang w:val="ru-RU" w:eastAsia="ko-KR" w:bidi="ar-SA"/>
      <w14:ligatures w14:val="none"/>
    </w:rPr>
  </w:style>
  <w:style w:type="paragraph" w:styleId="1032">
    <w:name w:val="Содержимое врезки"/>
    <w:basedOn w:val="881"/>
    <w:qFormat/>
  </w:style>
  <w:style w:type="numbering" w:styleId="1033" w:default="1">
    <w:name w:val="No List"/>
    <w:uiPriority w:val="99"/>
    <w:semiHidden/>
    <w:unhideWhenUsed/>
    <w:qFormat/>
  </w:style>
  <w:style w:type="numbering" w:styleId="1034" w:customStyle="1">
    <w:name w:val="Стиль1"/>
    <w:uiPriority w:val="99"/>
    <w:qFormat/>
  </w:style>
  <w:style w:type="numbering" w:styleId="1035" w:customStyle="1">
    <w:name w:val="Стиль2"/>
    <w:uiPriority w:val="99"/>
    <w:qFormat/>
  </w:style>
  <w:style w:type="numbering" w:styleId="1036" w:customStyle="1">
    <w:name w:val="Стиль3"/>
    <w:uiPriority w:val="99"/>
    <w:qFormat/>
  </w:style>
  <w:style w:type="table" w:styleId="103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6F68B-9E6D-4720-95DA-6C38DBC0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malyutina_en</cp:lastModifiedBy>
  <cp:revision>58</cp:revision>
  <dcterms:created xsi:type="dcterms:W3CDTF">2023-03-09T01:40:00Z</dcterms:created>
  <dcterms:modified xsi:type="dcterms:W3CDTF">2026-03-24T01:45:16Z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